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D6E" w:rsidRDefault="002D0D6E" w:rsidP="002D0D6E">
      <w:pPr>
        <w:jc w:val="center"/>
        <w:rPr>
          <w:rFonts w:cstheme="minorHAnsi"/>
          <w:b/>
          <w:bCs/>
          <w:sz w:val="28"/>
          <w:szCs w:val="28"/>
        </w:rPr>
      </w:pPr>
      <w:r w:rsidRPr="00047E8B">
        <w:rPr>
          <w:rFonts w:cstheme="minorHAnsi"/>
          <w:b/>
          <w:bCs/>
          <w:sz w:val="28"/>
          <w:szCs w:val="28"/>
        </w:rPr>
        <w:t>Department of Entomology, College of Bioresources and Agriculture</w:t>
      </w:r>
    </w:p>
    <w:p w:rsidR="002D0D6E" w:rsidRDefault="002D0D6E" w:rsidP="002D0D6E">
      <w:pPr>
        <w:jc w:val="center"/>
        <w:rPr>
          <w:rFonts w:cstheme="minorHAnsi"/>
          <w:b/>
          <w:bCs/>
          <w:sz w:val="28"/>
          <w:szCs w:val="28"/>
        </w:rPr>
      </w:pPr>
      <w:r w:rsidRPr="00047E8B">
        <w:rPr>
          <w:rFonts w:cstheme="minorHAnsi"/>
          <w:b/>
          <w:bCs/>
          <w:sz w:val="28"/>
          <w:szCs w:val="28"/>
        </w:rPr>
        <w:t>National Taiwan University</w:t>
      </w:r>
    </w:p>
    <w:p w:rsidR="002D0D6E" w:rsidRPr="00204837" w:rsidRDefault="002D0D6E" w:rsidP="002D0D6E">
      <w:pPr>
        <w:snapToGrid w:val="0"/>
        <w:contextualSpacing/>
        <w:jc w:val="center"/>
        <w:rPr>
          <w:rFonts w:cstheme="minorHAnsi"/>
          <w:b/>
          <w:bCs/>
          <w:sz w:val="28"/>
          <w:szCs w:val="28"/>
        </w:rPr>
      </w:pPr>
    </w:p>
    <w:p w:rsidR="00B82D75" w:rsidRPr="00A43B7C" w:rsidRDefault="004E5EF0" w:rsidP="00A26755">
      <w:pPr>
        <w:jc w:val="center"/>
        <w:rPr>
          <w:rFonts w:cstheme="minorHAnsi"/>
          <w:b/>
          <w:bCs/>
          <w:sz w:val="28"/>
          <w:szCs w:val="28"/>
        </w:rPr>
      </w:pPr>
      <w:r w:rsidRPr="004E5EF0">
        <w:rPr>
          <w:rFonts w:cstheme="minorHAnsi"/>
          <w:b/>
          <w:bCs/>
          <w:sz w:val="28"/>
          <w:szCs w:val="28"/>
        </w:rPr>
        <w:t xml:space="preserve">Regulations for the </w:t>
      </w:r>
      <w:r w:rsidR="00EB5570" w:rsidRPr="00EB5570">
        <w:rPr>
          <w:rFonts w:cstheme="minorHAnsi"/>
          <w:b/>
          <w:bCs/>
          <w:sz w:val="28"/>
          <w:szCs w:val="28"/>
        </w:rPr>
        <w:t>Ph.D. Candidate Qualifying Examination</w:t>
      </w:r>
    </w:p>
    <w:p w:rsidR="002D0D6E" w:rsidRPr="00204837" w:rsidRDefault="002D0D6E" w:rsidP="002D0D6E">
      <w:pPr>
        <w:snapToGrid w:val="0"/>
        <w:contextualSpacing/>
        <w:jc w:val="center"/>
        <w:rPr>
          <w:rFonts w:cstheme="minorHAnsi"/>
          <w:b/>
          <w:bCs/>
          <w:sz w:val="28"/>
          <w:szCs w:val="28"/>
        </w:rPr>
      </w:pPr>
    </w:p>
    <w:p w:rsidR="002D0D6E" w:rsidRPr="00204837" w:rsidRDefault="002D0D6E" w:rsidP="002D0D6E">
      <w:pPr>
        <w:snapToGrid w:val="0"/>
        <w:contextualSpacing/>
        <w:jc w:val="center"/>
        <w:rPr>
          <w:rFonts w:cstheme="minorHAnsi"/>
          <w:b/>
          <w:bCs/>
          <w:sz w:val="28"/>
          <w:szCs w:val="28"/>
        </w:rPr>
      </w:pPr>
    </w:p>
    <w:p w:rsid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1</w:t>
      </w:r>
      <w:r w:rsidRPr="005A6086">
        <w:rPr>
          <w:rFonts w:cstheme="minorHAnsi"/>
        </w:rPr>
        <w:tab/>
      </w:r>
      <w:r w:rsidR="004B22DA" w:rsidRPr="004B22DA">
        <w:rPr>
          <w:rFonts w:cstheme="minorHAnsi"/>
          <w:color w:val="000000" w:themeColor="text1"/>
        </w:rPr>
        <w:t>These regulations are established in accordance with the "National Taiwan University</w:t>
      </w:r>
      <w:r w:rsidR="004B22DA">
        <w:rPr>
          <w:rFonts w:cstheme="minorHAnsi"/>
          <w:color w:val="000000" w:themeColor="text1"/>
        </w:rPr>
        <w:t xml:space="preserve"> </w:t>
      </w:r>
      <w:r w:rsidR="004B22DA" w:rsidRPr="002D0D6E">
        <w:rPr>
          <w:rFonts w:cstheme="minorHAnsi"/>
          <w:color w:val="000000" w:themeColor="text1"/>
        </w:rPr>
        <w:t>Directives Governing Implementation of Ph.D. Candidate Qualifying Examination</w:t>
      </w:r>
      <w:r w:rsidR="004B22DA" w:rsidRPr="004B22DA">
        <w:rPr>
          <w:rFonts w:cstheme="minorHAnsi"/>
          <w:color w:val="000000" w:themeColor="text1"/>
        </w:rPr>
        <w:t xml:space="preserve">" issued by the Office of Academic Affairs of National Taiwan University (hereinafter referred to as </w:t>
      </w:r>
      <w:r w:rsidR="006608A8">
        <w:rPr>
          <w:rFonts w:cstheme="minorHAnsi"/>
          <w:color w:val="000000" w:themeColor="text1"/>
        </w:rPr>
        <w:t>“</w:t>
      </w:r>
      <w:r w:rsidR="004B22DA" w:rsidRPr="004B22DA">
        <w:rPr>
          <w:rFonts w:cstheme="minorHAnsi"/>
          <w:color w:val="000000" w:themeColor="text1"/>
        </w:rPr>
        <w:t>the University</w:t>
      </w:r>
      <w:r w:rsidR="006608A8">
        <w:rPr>
          <w:rFonts w:cstheme="minorHAnsi"/>
          <w:color w:val="000000" w:themeColor="text1"/>
        </w:rPr>
        <w:t>”</w:t>
      </w:r>
      <w:r w:rsidR="004B22DA" w:rsidRPr="004B22DA">
        <w:rPr>
          <w:rFonts w:cstheme="minorHAnsi"/>
          <w:color w:val="000000" w:themeColor="text1"/>
        </w:rPr>
        <w:t>).</w:t>
      </w:r>
    </w:p>
    <w:p w:rsidR="00EB5570" w:rsidRPr="00EB5570" w:rsidRDefault="00EB5570" w:rsidP="00AA0337">
      <w:pPr>
        <w:ind w:left="991" w:hangingChars="413" w:hanging="991"/>
        <w:jc w:val="both"/>
        <w:rPr>
          <w:rFonts w:cstheme="minorHAnsi"/>
        </w:rPr>
      </w:pPr>
    </w:p>
    <w:p w:rsidR="004B22DA" w:rsidRP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2</w:t>
      </w:r>
      <w:r w:rsidRPr="005A6086">
        <w:rPr>
          <w:rFonts w:cstheme="minorHAnsi"/>
        </w:rPr>
        <w:tab/>
      </w:r>
      <w:r w:rsidR="004B22DA" w:rsidRPr="004B22DA">
        <w:rPr>
          <w:rFonts w:cstheme="minorHAnsi"/>
          <w:color w:val="000000" w:themeColor="text1"/>
        </w:rPr>
        <w:t>The</w:t>
      </w:r>
      <w:r w:rsidR="00EB5570" w:rsidRPr="00EB5570">
        <w:rPr>
          <w:rFonts w:cstheme="minorHAnsi"/>
          <w:color w:val="000000" w:themeColor="text1"/>
        </w:rPr>
        <w:t xml:space="preserve"> Ph.D. Candidate Qualifying Examination</w:t>
      </w:r>
      <w:r w:rsidR="004B22DA" w:rsidRPr="004B22DA">
        <w:rPr>
          <w:rFonts w:cstheme="minorHAnsi"/>
          <w:color w:val="000000" w:themeColor="text1"/>
        </w:rPr>
        <w:t xml:space="preserve"> in the Department of Entomology (hereinafter referred to as </w:t>
      </w:r>
      <w:r w:rsidR="006608A8">
        <w:rPr>
          <w:rFonts w:cstheme="minorHAnsi"/>
          <w:color w:val="000000" w:themeColor="text1"/>
        </w:rPr>
        <w:t>“</w:t>
      </w:r>
      <w:r w:rsidR="004B22DA" w:rsidRPr="004B22DA">
        <w:rPr>
          <w:rFonts w:cstheme="minorHAnsi"/>
          <w:color w:val="000000" w:themeColor="text1"/>
        </w:rPr>
        <w:t>the Department</w:t>
      </w:r>
      <w:r w:rsidR="006608A8">
        <w:rPr>
          <w:rFonts w:cstheme="minorHAnsi"/>
          <w:color w:val="000000" w:themeColor="text1"/>
        </w:rPr>
        <w:t>”</w:t>
      </w:r>
      <w:r w:rsidR="004B22DA" w:rsidRPr="004B22DA">
        <w:rPr>
          <w:rFonts w:cstheme="minorHAnsi"/>
          <w:color w:val="000000" w:themeColor="text1"/>
        </w:rPr>
        <w:t>) shall be conducted in two stages: a progress report and a written examination. The examination is held once every semester. Doctoral students must pass the first stage (</w:t>
      </w:r>
      <w:r w:rsidR="00985796" w:rsidRPr="004B22DA">
        <w:rPr>
          <w:rFonts w:cstheme="minorHAnsi"/>
          <w:color w:val="000000" w:themeColor="text1"/>
        </w:rPr>
        <w:t>Progress Report</w:t>
      </w:r>
      <w:r w:rsidR="004B22DA" w:rsidRPr="004B22DA">
        <w:rPr>
          <w:rFonts w:cstheme="minorHAnsi"/>
          <w:color w:val="000000" w:themeColor="text1"/>
        </w:rPr>
        <w:t>) within two years of enrollment and the second stage (</w:t>
      </w:r>
      <w:r w:rsidR="00985796" w:rsidRPr="004B22DA">
        <w:rPr>
          <w:rFonts w:cstheme="minorHAnsi"/>
          <w:color w:val="000000" w:themeColor="text1"/>
        </w:rPr>
        <w:t>Written Examination</w:t>
      </w:r>
      <w:r w:rsidR="004B22DA" w:rsidRPr="004B22DA">
        <w:rPr>
          <w:rFonts w:cstheme="minorHAnsi"/>
          <w:color w:val="000000" w:themeColor="text1"/>
        </w:rPr>
        <w:t>) within three years.</w:t>
      </w:r>
    </w:p>
    <w:p w:rsidR="00EB5570" w:rsidRDefault="00EB5570" w:rsidP="00AA0337">
      <w:pPr>
        <w:ind w:left="991" w:hangingChars="413" w:hanging="991"/>
        <w:jc w:val="both"/>
        <w:rPr>
          <w:rFonts w:cstheme="minorHAnsi"/>
          <w:color w:val="000000" w:themeColor="text1"/>
        </w:rPr>
      </w:pPr>
    </w:p>
    <w:p w:rsid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3</w:t>
      </w:r>
      <w:r w:rsidRPr="005A6086">
        <w:rPr>
          <w:rFonts w:cstheme="minorHAnsi"/>
        </w:rPr>
        <w:tab/>
      </w:r>
      <w:r w:rsidR="004B22DA" w:rsidRPr="004B22DA">
        <w:rPr>
          <w:rFonts w:cstheme="minorHAnsi"/>
          <w:color w:val="000000" w:themeColor="text1"/>
        </w:rPr>
        <w:t xml:space="preserve">Application deadline for </w:t>
      </w:r>
      <w:r w:rsidR="00EB5570" w:rsidRPr="00EB5570">
        <w:rPr>
          <w:rFonts w:cstheme="minorHAnsi"/>
          <w:color w:val="000000" w:themeColor="text1"/>
        </w:rPr>
        <w:t>the Ph.D. Candidate Qualifying Examination</w:t>
      </w:r>
      <w:r w:rsidR="004B22DA" w:rsidRPr="004B22DA">
        <w:rPr>
          <w:rFonts w:cstheme="minorHAnsi"/>
          <w:color w:val="000000" w:themeColor="text1"/>
        </w:rPr>
        <w:t>: within one month from the beginning of the semester as announced in the University academic calendar.</w:t>
      </w:r>
    </w:p>
    <w:p w:rsidR="00985796" w:rsidRPr="004B22DA" w:rsidRDefault="00985796" w:rsidP="00EB5570">
      <w:pPr>
        <w:ind w:left="283" w:hangingChars="118" w:hanging="283"/>
        <w:jc w:val="both"/>
        <w:rPr>
          <w:rFonts w:cstheme="minorHAnsi"/>
          <w:color w:val="000000" w:themeColor="text1"/>
        </w:rPr>
      </w:pPr>
    </w:p>
    <w:p w:rsidR="004B22DA" w:rsidRPr="004B22DA" w:rsidRDefault="00AA0337" w:rsidP="004B22DA">
      <w:pPr>
        <w:ind w:left="283" w:hangingChars="118" w:hanging="283"/>
        <w:jc w:val="both"/>
        <w:rPr>
          <w:rFonts w:cstheme="minorHAnsi"/>
          <w:color w:val="000000" w:themeColor="text1"/>
        </w:rPr>
      </w:pPr>
      <w:r w:rsidRPr="005A6086">
        <w:rPr>
          <w:rFonts w:cstheme="minorHAnsi"/>
        </w:rPr>
        <w:t xml:space="preserve">Article </w:t>
      </w:r>
      <w:r>
        <w:rPr>
          <w:rFonts w:cstheme="minorHAnsi"/>
        </w:rPr>
        <w:t>4</w:t>
      </w:r>
      <w:r w:rsidRPr="005A6086">
        <w:rPr>
          <w:rFonts w:cstheme="minorHAnsi"/>
        </w:rPr>
        <w:tab/>
      </w:r>
      <w:r w:rsidR="004B22DA" w:rsidRPr="004B22DA">
        <w:rPr>
          <w:rFonts w:cstheme="minorHAnsi"/>
          <w:color w:val="000000" w:themeColor="text1"/>
        </w:rPr>
        <w:t>Regulations for the first stage: Progress Report</w:t>
      </w:r>
    </w:p>
    <w:p w:rsidR="004B22DA" w:rsidRPr="004B22DA" w:rsidRDefault="004B22DA" w:rsidP="00AA0337">
      <w:pPr>
        <w:ind w:leftChars="413" w:left="991"/>
        <w:jc w:val="both"/>
        <w:rPr>
          <w:rFonts w:cstheme="minorHAnsi"/>
          <w:color w:val="000000" w:themeColor="text1"/>
        </w:rPr>
      </w:pPr>
      <w:r w:rsidRPr="004B22DA">
        <w:rPr>
          <w:rFonts w:cstheme="minorHAnsi"/>
          <w:color w:val="000000" w:themeColor="text1"/>
        </w:rPr>
        <w:t xml:space="preserve">Doctoral students may apply for the </w:t>
      </w:r>
      <w:r w:rsidR="00EB5570" w:rsidRPr="004B22DA">
        <w:rPr>
          <w:rFonts w:cstheme="minorHAnsi"/>
          <w:color w:val="000000" w:themeColor="text1"/>
        </w:rPr>
        <w:t>Progress Report</w:t>
      </w:r>
      <w:r w:rsidRPr="004B22DA">
        <w:rPr>
          <w:rFonts w:cstheme="minorHAnsi"/>
          <w:color w:val="000000" w:themeColor="text1"/>
        </w:rPr>
        <w:t xml:space="preserve"> after enrollment. The </w:t>
      </w:r>
      <w:r w:rsidR="00EB5570" w:rsidRPr="004B22DA">
        <w:rPr>
          <w:rFonts w:cstheme="minorHAnsi"/>
          <w:color w:val="000000" w:themeColor="text1"/>
        </w:rPr>
        <w:t>Progress Report</w:t>
      </w:r>
      <w:r w:rsidRPr="004B22DA">
        <w:rPr>
          <w:rFonts w:cstheme="minorHAnsi"/>
          <w:color w:val="000000" w:themeColor="text1"/>
        </w:rPr>
        <w:t xml:space="preserve"> shall be conducted within one week before the end of classes in the same semester. Three oral examination committee members (excluding the advisor) will be appointed by the </w:t>
      </w:r>
      <w:r w:rsidR="0054058C" w:rsidRPr="0054058C">
        <w:rPr>
          <w:rFonts w:cstheme="minorHAnsi"/>
          <w:color w:val="000000" w:themeColor="text1"/>
        </w:rPr>
        <w:t>Departmental Affairs Meeting</w:t>
      </w:r>
      <w:r w:rsidRPr="004B22DA">
        <w:rPr>
          <w:rFonts w:cstheme="minorHAnsi"/>
          <w:color w:val="000000" w:themeColor="text1"/>
        </w:rPr>
        <w:t xml:space="preserve">. If the student fails the first </w:t>
      </w:r>
      <w:r w:rsidR="00EB5570" w:rsidRPr="004B22DA">
        <w:rPr>
          <w:rFonts w:cstheme="minorHAnsi"/>
          <w:color w:val="000000" w:themeColor="text1"/>
        </w:rPr>
        <w:t>Progress Report</w:t>
      </w:r>
      <w:r w:rsidRPr="004B22DA">
        <w:rPr>
          <w:rFonts w:cstheme="minorHAnsi"/>
          <w:color w:val="000000" w:themeColor="text1"/>
        </w:rPr>
        <w:t>, they must pass it within two years of enrollment; otherwise, they will be dismissed from the program.</w:t>
      </w:r>
    </w:p>
    <w:p w:rsidR="00EB5570" w:rsidRDefault="00EB5570" w:rsidP="004B22DA">
      <w:pPr>
        <w:ind w:left="283" w:hangingChars="118" w:hanging="283"/>
        <w:jc w:val="both"/>
        <w:rPr>
          <w:rFonts w:cstheme="minorHAnsi"/>
          <w:color w:val="000000" w:themeColor="text1"/>
        </w:rPr>
      </w:pPr>
    </w:p>
    <w:p w:rsidR="004B22DA" w:rsidRPr="004B22DA" w:rsidRDefault="00AA0337" w:rsidP="004B22DA">
      <w:pPr>
        <w:ind w:left="283" w:hangingChars="118" w:hanging="283"/>
        <w:jc w:val="both"/>
        <w:rPr>
          <w:rFonts w:cstheme="minorHAnsi"/>
          <w:color w:val="000000" w:themeColor="text1"/>
        </w:rPr>
      </w:pPr>
      <w:r w:rsidRPr="005A6086">
        <w:rPr>
          <w:rFonts w:cstheme="minorHAnsi"/>
        </w:rPr>
        <w:t xml:space="preserve">Article </w:t>
      </w:r>
      <w:r>
        <w:rPr>
          <w:rFonts w:cstheme="minorHAnsi"/>
        </w:rPr>
        <w:t>5</w:t>
      </w:r>
      <w:r w:rsidRPr="005A6086">
        <w:rPr>
          <w:rFonts w:cstheme="minorHAnsi"/>
        </w:rPr>
        <w:tab/>
      </w:r>
      <w:r w:rsidR="004B22DA" w:rsidRPr="004B22DA">
        <w:rPr>
          <w:rFonts w:cstheme="minorHAnsi"/>
          <w:color w:val="000000" w:themeColor="text1"/>
        </w:rPr>
        <w:t>Regulations for the second stage: Written Examination</w:t>
      </w:r>
    </w:p>
    <w:p w:rsidR="004B22DA" w:rsidRDefault="004B22DA" w:rsidP="00AA0337">
      <w:pPr>
        <w:ind w:leftChars="413" w:left="991"/>
        <w:jc w:val="both"/>
        <w:rPr>
          <w:rFonts w:cstheme="minorHAnsi"/>
          <w:color w:val="000000" w:themeColor="text1"/>
        </w:rPr>
      </w:pPr>
      <w:r w:rsidRPr="004B22DA">
        <w:rPr>
          <w:rFonts w:cstheme="minorHAnsi"/>
          <w:color w:val="000000" w:themeColor="text1"/>
        </w:rPr>
        <w:t xml:space="preserve">After passing the first-stage </w:t>
      </w:r>
      <w:r w:rsidR="00EB5570" w:rsidRPr="004B22DA">
        <w:rPr>
          <w:rFonts w:cstheme="minorHAnsi"/>
          <w:color w:val="000000" w:themeColor="text1"/>
        </w:rPr>
        <w:t>Progress Report</w:t>
      </w:r>
      <w:r w:rsidRPr="004B22DA">
        <w:rPr>
          <w:rFonts w:cstheme="minorHAnsi"/>
          <w:color w:val="000000" w:themeColor="text1"/>
        </w:rPr>
        <w:t xml:space="preserve"> and with the consent of the advisor and advisory committee, doctoral students may apply for the second-stage </w:t>
      </w:r>
      <w:r w:rsidR="00EB5570" w:rsidRPr="004B22DA">
        <w:rPr>
          <w:rFonts w:cstheme="minorHAnsi"/>
          <w:color w:val="000000" w:themeColor="text1"/>
        </w:rPr>
        <w:t>Written Examination</w:t>
      </w:r>
      <w:r w:rsidRPr="004B22DA">
        <w:rPr>
          <w:rFonts w:cstheme="minorHAnsi"/>
          <w:color w:val="000000" w:themeColor="text1"/>
        </w:rPr>
        <w:t xml:space="preserve">. The </w:t>
      </w:r>
      <w:r w:rsidR="00EB5570" w:rsidRPr="004B22DA">
        <w:rPr>
          <w:rFonts w:cstheme="minorHAnsi"/>
          <w:color w:val="000000" w:themeColor="text1"/>
        </w:rPr>
        <w:t>Written Examination</w:t>
      </w:r>
      <w:r w:rsidRPr="004B22DA">
        <w:rPr>
          <w:rFonts w:cstheme="minorHAnsi"/>
          <w:color w:val="000000" w:themeColor="text1"/>
        </w:rPr>
        <w:t xml:space="preserve"> will be held once within one week before midterm exams</w:t>
      </w:r>
      <w:r w:rsidR="00D82524">
        <w:rPr>
          <w:rFonts w:cstheme="minorHAnsi"/>
          <w:color w:val="000000" w:themeColor="text1"/>
        </w:rPr>
        <w:t xml:space="preserve"> </w:t>
      </w:r>
      <w:r w:rsidR="00D82524" w:rsidRPr="004B22DA">
        <w:rPr>
          <w:rFonts w:cstheme="minorHAnsi"/>
          <w:color w:val="000000" w:themeColor="text1"/>
        </w:rPr>
        <w:t>in the same semester</w:t>
      </w:r>
      <w:r w:rsidRPr="004B22DA">
        <w:rPr>
          <w:rFonts w:cstheme="minorHAnsi"/>
          <w:color w:val="000000" w:themeColor="text1"/>
        </w:rPr>
        <w:t xml:space="preserve">. If the student fails, a re-exam will be held within one week before final exams in the same semester. Two subjects will be selected by the advisor in consultation with the advisory committee and approved by the </w:t>
      </w:r>
      <w:r w:rsidR="0054058C" w:rsidRPr="0054058C">
        <w:rPr>
          <w:rFonts w:cstheme="minorHAnsi"/>
          <w:color w:val="000000" w:themeColor="text1"/>
        </w:rPr>
        <w:lastRenderedPageBreak/>
        <w:t>Departmental Affairs Meeting</w:t>
      </w:r>
      <w:r w:rsidRPr="004B22DA">
        <w:rPr>
          <w:rFonts w:cstheme="minorHAnsi"/>
          <w:color w:val="000000" w:themeColor="text1"/>
        </w:rPr>
        <w:t xml:space="preserve">. Each subject will be jointly </w:t>
      </w:r>
      <w:r w:rsidR="00985796">
        <w:rPr>
          <w:rFonts w:cstheme="minorHAnsi"/>
          <w:color w:val="000000" w:themeColor="text1"/>
        </w:rPr>
        <w:t>provided</w:t>
      </w:r>
      <w:r w:rsidRPr="004B22DA">
        <w:rPr>
          <w:rFonts w:cstheme="minorHAnsi"/>
          <w:color w:val="000000" w:themeColor="text1"/>
        </w:rPr>
        <w:t xml:space="preserve"> and graded by two examiners, with at least one being from outside the University.</w:t>
      </w:r>
      <w:r w:rsidR="00F16509">
        <w:rPr>
          <w:rFonts w:cstheme="minorHAnsi" w:hint="eastAsia"/>
          <w:color w:val="000000" w:themeColor="text1"/>
        </w:rPr>
        <w:t xml:space="preserve"> </w:t>
      </w:r>
      <w:r w:rsidRPr="004B22DA">
        <w:rPr>
          <w:rFonts w:cstheme="minorHAnsi"/>
          <w:color w:val="000000" w:themeColor="text1"/>
        </w:rPr>
        <w:t>The passing grade for each subject is an average of 70. Students who fail may apply for one retake of only the failed subject(s). The retake will be conducted by the original examiner plus an additional external examiner.</w:t>
      </w:r>
      <w:r w:rsidR="00F16509">
        <w:rPr>
          <w:rFonts w:cstheme="minorHAnsi" w:hint="eastAsia"/>
          <w:color w:val="000000" w:themeColor="text1"/>
        </w:rPr>
        <w:t xml:space="preserve"> </w:t>
      </w:r>
      <w:r w:rsidRPr="004B22DA">
        <w:rPr>
          <w:rFonts w:cstheme="minorHAnsi"/>
          <w:color w:val="000000" w:themeColor="text1"/>
        </w:rPr>
        <w:t>If the student fails the retake, the advisory committee will designate make-up courses, which must be completed with a grade of 80 or above within one year. Failure to meet this requirement will result in dismissal from the program.</w:t>
      </w:r>
    </w:p>
    <w:p w:rsidR="00F16509" w:rsidRPr="004B22DA" w:rsidRDefault="00F16509" w:rsidP="00F16509">
      <w:pPr>
        <w:ind w:leftChars="115" w:left="276" w:firstLine="1"/>
        <w:jc w:val="both"/>
        <w:rPr>
          <w:rFonts w:cstheme="minorHAnsi"/>
          <w:color w:val="000000" w:themeColor="text1"/>
        </w:rPr>
      </w:pPr>
    </w:p>
    <w:p w:rsid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6</w:t>
      </w:r>
      <w:r w:rsidRPr="005A6086">
        <w:rPr>
          <w:rFonts w:cstheme="minorHAnsi"/>
        </w:rPr>
        <w:tab/>
      </w:r>
      <w:r w:rsidR="004B22DA" w:rsidRPr="004B22DA">
        <w:rPr>
          <w:rFonts w:cstheme="minorHAnsi"/>
          <w:color w:val="000000" w:themeColor="text1"/>
        </w:rPr>
        <w:t xml:space="preserve">Once a doctoral student has passed </w:t>
      </w:r>
      <w:r w:rsidR="00F16509">
        <w:rPr>
          <w:rFonts w:cstheme="minorHAnsi"/>
          <w:color w:val="000000" w:themeColor="text1"/>
        </w:rPr>
        <w:t xml:space="preserve">the </w:t>
      </w:r>
      <w:r w:rsidR="00F16509" w:rsidRPr="00F16509">
        <w:rPr>
          <w:rFonts w:cstheme="minorHAnsi"/>
          <w:color w:val="000000" w:themeColor="text1"/>
        </w:rPr>
        <w:t>Ph.D. Candidate Qualifying Examination</w:t>
      </w:r>
      <w:r w:rsidR="004B22DA" w:rsidRPr="004B22DA">
        <w:rPr>
          <w:rFonts w:cstheme="minorHAnsi"/>
          <w:color w:val="000000" w:themeColor="text1"/>
        </w:rPr>
        <w:t xml:space="preserve">, the </w:t>
      </w:r>
      <w:r w:rsidR="00F16509" w:rsidRPr="004B22DA">
        <w:rPr>
          <w:rFonts w:cstheme="minorHAnsi"/>
          <w:color w:val="000000" w:themeColor="text1"/>
        </w:rPr>
        <w:t>Written Examination</w:t>
      </w:r>
      <w:r w:rsidR="004B22DA" w:rsidRPr="004B22DA">
        <w:rPr>
          <w:rFonts w:cstheme="minorHAnsi"/>
          <w:color w:val="000000" w:themeColor="text1"/>
        </w:rPr>
        <w:t xml:space="preserve"> grades shall be submitted to the Office of Academic Affairs for record.</w:t>
      </w:r>
    </w:p>
    <w:p w:rsidR="00F16509" w:rsidRPr="004B22DA" w:rsidRDefault="00F16509" w:rsidP="004B22DA">
      <w:pPr>
        <w:ind w:left="283" w:hangingChars="118" w:hanging="283"/>
        <w:jc w:val="both"/>
        <w:rPr>
          <w:rFonts w:cstheme="minorHAnsi"/>
          <w:color w:val="000000" w:themeColor="text1"/>
        </w:rPr>
      </w:pPr>
    </w:p>
    <w:p w:rsidR="004B22DA" w:rsidRP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7</w:t>
      </w:r>
      <w:r w:rsidRPr="005A6086">
        <w:rPr>
          <w:rFonts w:cstheme="minorHAnsi"/>
        </w:rPr>
        <w:tab/>
      </w:r>
      <w:r w:rsidR="004B22DA" w:rsidRPr="004B22DA">
        <w:rPr>
          <w:rFonts w:cstheme="minorHAnsi"/>
          <w:color w:val="000000" w:themeColor="text1"/>
        </w:rPr>
        <w:t xml:space="preserve">A doctoral student who meets the following requirements shall be recognized as a </w:t>
      </w:r>
      <w:r w:rsidR="00F16509" w:rsidRPr="00F16509">
        <w:rPr>
          <w:rFonts w:cstheme="minorHAnsi"/>
          <w:color w:val="000000" w:themeColor="text1"/>
        </w:rPr>
        <w:t>Ph.D. Candidate</w:t>
      </w:r>
      <w:r w:rsidR="004B22DA" w:rsidRPr="004B22DA">
        <w:rPr>
          <w:rFonts w:cstheme="minorHAnsi"/>
          <w:color w:val="000000" w:themeColor="text1"/>
        </w:rPr>
        <w:t>:</w:t>
      </w:r>
    </w:p>
    <w:p w:rsidR="004B22DA" w:rsidRPr="004B22DA" w:rsidRDefault="00F16509" w:rsidP="00AA0337">
      <w:pPr>
        <w:ind w:leftChars="413" w:left="991"/>
        <w:jc w:val="both"/>
        <w:rPr>
          <w:rFonts w:cstheme="minorHAnsi"/>
          <w:color w:val="000000" w:themeColor="text1"/>
        </w:rPr>
      </w:pPr>
      <w:r>
        <w:rPr>
          <w:rFonts w:cstheme="minorHAnsi"/>
          <w:color w:val="000000" w:themeColor="text1"/>
        </w:rPr>
        <w:t>1</w:t>
      </w:r>
      <w:r w:rsidR="00AA0337">
        <w:rPr>
          <w:rFonts w:cstheme="minorHAnsi"/>
          <w:color w:val="000000" w:themeColor="text1"/>
        </w:rPr>
        <w:t xml:space="preserve">. </w:t>
      </w:r>
      <w:r w:rsidR="004B22DA" w:rsidRPr="004B22DA">
        <w:rPr>
          <w:rFonts w:cstheme="minorHAnsi"/>
          <w:color w:val="000000" w:themeColor="text1"/>
        </w:rPr>
        <w:t>Completion of required doctoral coursework.</w:t>
      </w:r>
    </w:p>
    <w:p w:rsidR="004B22DA" w:rsidRPr="004B22DA" w:rsidRDefault="00F16509" w:rsidP="00AA0337">
      <w:pPr>
        <w:ind w:leftChars="413" w:left="991"/>
        <w:jc w:val="both"/>
        <w:rPr>
          <w:rFonts w:cstheme="minorHAnsi"/>
          <w:color w:val="000000" w:themeColor="text1"/>
        </w:rPr>
      </w:pPr>
      <w:r>
        <w:rPr>
          <w:rFonts w:cstheme="minorHAnsi"/>
          <w:color w:val="000000" w:themeColor="text1"/>
        </w:rPr>
        <w:t>2</w:t>
      </w:r>
      <w:r w:rsidR="00AA0337">
        <w:rPr>
          <w:rFonts w:cstheme="minorHAnsi"/>
          <w:color w:val="000000" w:themeColor="text1"/>
        </w:rPr>
        <w:t xml:space="preserve">. </w:t>
      </w:r>
      <w:r w:rsidR="004B22DA" w:rsidRPr="004B22DA">
        <w:rPr>
          <w:rFonts w:cstheme="minorHAnsi"/>
          <w:color w:val="000000" w:themeColor="text1"/>
        </w:rPr>
        <w:t xml:space="preserve">Passing both stages of </w:t>
      </w:r>
      <w:r>
        <w:rPr>
          <w:rFonts w:cstheme="minorHAnsi"/>
          <w:color w:val="000000" w:themeColor="text1"/>
        </w:rPr>
        <w:t xml:space="preserve">the </w:t>
      </w:r>
      <w:r w:rsidRPr="00F16509">
        <w:rPr>
          <w:rFonts w:cstheme="minorHAnsi"/>
          <w:color w:val="000000" w:themeColor="text1"/>
        </w:rPr>
        <w:t>Ph.D. Candidate Qualifying Examination</w:t>
      </w:r>
      <w:r w:rsidR="004B22DA" w:rsidRPr="004B22DA">
        <w:rPr>
          <w:rFonts w:cstheme="minorHAnsi"/>
          <w:color w:val="000000" w:themeColor="text1"/>
        </w:rPr>
        <w:t>.</w:t>
      </w:r>
    </w:p>
    <w:p w:rsidR="00F16509" w:rsidRDefault="00F16509" w:rsidP="004B22DA">
      <w:pPr>
        <w:ind w:left="283" w:hangingChars="118" w:hanging="283"/>
        <w:jc w:val="both"/>
        <w:rPr>
          <w:rFonts w:cstheme="minorHAnsi"/>
          <w:color w:val="000000" w:themeColor="text1"/>
        </w:rPr>
      </w:pPr>
    </w:p>
    <w:p w:rsid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8</w:t>
      </w:r>
      <w:r w:rsidRPr="005A6086">
        <w:rPr>
          <w:rFonts w:cstheme="minorHAnsi"/>
        </w:rPr>
        <w:tab/>
      </w:r>
      <w:r w:rsidR="004B22DA" w:rsidRPr="004B22DA">
        <w:rPr>
          <w:rFonts w:cstheme="minorHAnsi"/>
          <w:color w:val="000000" w:themeColor="text1"/>
        </w:rPr>
        <w:t xml:space="preserve">After passing </w:t>
      </w:r>
      <w:r w:rsidR="00F16509">
        <w:rPr>
          <w:rFonts w:cstheme="minorHAnsi"/>
          <w:color w:val="000000" w:themeColor="text1"/>
        </w:rPr>
        <w:t xml:space="preserve">the </w:t>
      </w:r>
      <w:r w:rsidR="00F16509" w:rsidRPr="00F16509">
        <w:rPr>
          <w:rFonts w:cstheme="minorHAnsi"/>
          <w:color w:val="000000" w:themeColor="text1"/>
        </w:rPr>
        <w:t>Ph.D. Candidate Qualifying Examination</w:t>
      </w:r>
      <w:r w:rsidR="004B22DA" w:rsidRPr="004B22DA">
        <w:rPr>
          <w:rFonts w:cstheme="minorHAnsi"/>
          <w:color w:val="000000" w:themeColor="text1"/>
        </w:rPr>
        <w:t>, the student must give a public presentation hosted by the Department</w:t>
      </w:r>
      <w:r w:rsidR="00F16509">
        <w:rPr>
          <w:rFonts w:cstheme="minorHAnsi"/>
          <w:color w:val="000000" w:themeColor="text1"/>
        </w:rPr>
        <w:t xml:space="preserve"> </w:t>
      </w:r>
      <w:r w:rsidR="00F16509" w:rsidRPr="004B22DA">
        <w:rPr>
          <w:rFonts w:cstheme="minorHAnsi"/>
          <w:color w:val="000000" w:themeColor="text1"/>
        </w:rPr>
        <w:t xml:space="preserve">and </w:t>
      </w:r>
      <w:r w:rsidR="00985796">
        <w:rPr>
          <w:rFonts w:cstheme="minorHAnsi"/>
          <w:color w:val="000000" w:themeColor="text1"/>
        </w:rPr>
        <w:t xml:space="preserve">have </w:t>
      </w:r>
      <w:r w:rsidR="00F16509">
        <w:rPr>
          <w:rFonts w:cstheme="minorHAnsi"/>
          <w:color w:val="000000" w:themeColor="text1"/>
        </w:rPr>
        <w:t xml:space="preserve">paper publication </w:t>
      </w:r>
      <w:r w:rsidR="004B22DA" w:rsidRPr="004B22DA">
        <w:rPr>
          <w:rFonts w:cstheme="minorHAnsi"/>
          <w:color w:val="000000" w:themeColor="text1"/>
        </w:rPr>
        <w:t xml:space="preserve">before the </w:t>
      </w:r>
      <w:r w:rsidR="00F16509" w:rsidRPr="004B22DA">
        <w:rPr>
          <w:rFonts w:cstheme="minorHAnsi"/>
          <w:color w:val="000000" w:themeColor="text1"/>
        </w:rPr>
        <w:t>thesis defense</w:t>
      </w:r>
      <w:r w:rsidR="004B22DA" w:rsidRPr="004B22DA">
        <w:rPr>
          <w:rFonts w:cstheme="minorHAnsi"/>
          <w:color w:val="000000" w:themeColor="text1"/>
        </w:rPr>
        <w:t xml:space="preserve">. At least one research paper must be published in an SCI or SSCI journal (or a journal listed in the University's list of </w:t>
      </w:r>
      <w:r w:rsidR="00F16509" w:rsidRPr="00F16509">
        <w:rPr>
          <w:rFonts w:cstheme="minorHAnsi"/>
          <w:color w:val="000000" w:themeColor="text1"/>
        </w:rPr>
        <w:t>First-class high-quality journals</w:t>
      </w:r>
      <w:r w:rsidR="004B22DA" w:rsidRPr="004B22DA">
        <w:rPr>
          <w:rFonts w:cstheme="minorHAnsi"/>
          <w:color w:val="000000" w:themeColor="text1"/>
        </w:rPr>
        <w:t xml:space="preserve"> from related departments), or accepted for publication with proof.</w:t>
      </w:r>
    </w:p>
    <w:p w:rsidR="00F16509" w:rsidRPr="00F16509" w:rsidRDefault="00F16509" w:rsidP="00AA0337">
      <w:pPr>
        <w:ind w:left="991" w:hangingChars="413" w:hanging="991"/>
        <w:jc w:val="both"/>
        <w:rPr>
          <w:rFonts w:cstheme="minorHAnsi"/>
          <w:color w:val="000000" w:themeColor="text1"/>
        </w:rPr>
      </w:pPr>
    </w:p>
    <w:p w:rsidR="004B22DA" w:rsidRDefault="00AA0337" w:rsidP="00AA0337">
      <w:pPr>
        <w:ind w:left="991" w:hangingChars="413" w:hanging="991"/>
        <w:jc w:val="both"/>
        <w:rPr>
          <w:rFonts w:cstheme="minorHAnsi"/>
          <w:color w:val="000000" w:themeColor="text1"/>
        </w:rPr>
      </w:pPr>
      <w:r w:rsidRPr="005A6086">
        <w:rPr>
          <w:rFonts w:cstheme="minorHAnsi"/>
        </w:rPr>
        <w:t xml:space="preserve">Article </w:t>
      </w:r>
      <w:r>
        <w:rPr>
          <w:rFonts w:cstheme="minorHAnsi"/>
        </w:rPr>
        <w:t>9</w:t>
      </w:r>
      <w:r w:rsidRPr="005A6086">
        <w:rPr>
          <w:rFonts w:cstheme="minorHAnsi"/>
        </w:rPr>
        <w:tab/>
      </w:r>
      <w:r w:rsidR="004B22DA" w:rsidRPr="004B22DA">
        <w:rPr>
          <w:rFonts w:cstheme="minorHAnsi" w:hint="eastAsia"/>
          <w:color w:val="000000" w:themeColor="text1"/>
        </w:rPr>
        <w:t>A</w:t>
      </w:r>
      <w:r w:rsidR="004B22DA" w:rsidRPr="004B22DA">
        <w:rPr>
          <w:rFonts w:cstheme="minorHAnsi"/>
          <w:color w:val="000000" w:themeColor="text1"/>
        </w:rPr>
        <w:t>n advisory committee shall be composed of three to five doctoral-level experts or scholars, convened by the advisor. The primary advisor must be a full-time faculty member of the Department. Co-advisors may be full-time, part-time, or visiting faculty of the University. If there is more than one advisor, all must sign their consent before the student can apply for the qualification examination.</w:t>
      </w:r>
    </w:p>
    <w:p w:rsidR="00985796" w:rsidRPr="004B22DA" w:rsidRDefault="00985796" w:rsidP="004B22DA">
      <w:pPr>
        <w:ind w:left="283" w:hangingChars="118" w:hanging="283"/>
        <w:jc w:val="both"/>
        <w:rPr>
          <w:rFonts w:cstheme="minorHAnsi"/>
          <w:color w:val="000000" w:themeColor="text1"/>
        </w:rPr>
      </w:pPr>
    </w:p>
    <w:p w:rsidR="00C05D86" w:rsidRPr="008E32F2" w:rsidRDefault="00AA0337" w:rsidP="00AA0337">
      <w:pPr>
        <w:ind w:left="991" w:hangingChars="413" w:hanging="991"/>
        <w:jc w:val="both"/>
        <w:rPr>
          <w:rFonts w:cstheme="minorHAnsi"/>
          <w:color w:val="000000" w:themeColor="text1"/>
        </w:rPr>
      </w:pPr>
      <w:r w:rsidRPr="005A6086">
        <w:rPr>
          <w:rFonts w:cstheme="minorHAnsi"/>
        </w:rPr>
        <w:t>Article</w:t>
      </w:r>
      <w:r>
        <w:rPr>
          <w:rFonts w:cstheme="minorHAnsi"/>
        </w:rPr>
        <w:t xml:space="preserve"> 10</w:t>
      </w:r>
      <w:r w:rsidRPr="005A6086">
        <w:rPr>
          <w:rFonts w:cstheme="minorHAnsi"/>
        </w:rPr>
        <w:tab/>
      </w:r>
      <w:r w:rsidR="004B22DA" w:rsidRPr="004B22DA">
        <w:rPr>
          <w:rFonts w:cstheme="minorHAnsi"/>
          <w:color w:val="000000" w:themeColor="text1"/>
        </w:rPr>
        <w:t xml:space="preserve">These regulations shall be implemented after approval by the </w:t>
      </w:r>
      <w:r w:rsidR="0054058C" w:rsidRPr="0054058C">
        <w:rPr>
          <w:rFonts w:cstheme="minorHAnsi"/>
          <w:color w:val="000000" w:themeColor="text1"/>
        </w:rPr>
        <w:t>Departmental Affairs Meeting</w:t>
      </w:r>
      <w:r w:rsidR="004B22DA" w:rsidRPr="004B22DA">
        <w:rPr>
          <w:rFonts w:cstheme="minorHAnsi"/>
          <w:color w:val="000000" w:themeColor="text1"/>
        </w:rPr>
        <w:t xml:space="preserve"> and submission to the Office of Academic Affairs for record. The same procedure shall apply to any amendments.</w:t>
      </w:r>
    </w:p>
    <w:sectPr w:rsidR="00C05D86" w:rsidRPr="008E32F2" w:rsidSect="00024F0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CE"/>
    <w:multiLevelType w:val="hybridMultilevel"/>
    <w:tmpl w:val="D5468164"/>
    <w:lvl w:ilvl="0" w:tplc="E8DE483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A9E4939"/>
    <w:multiLevelType w:val="hybridMultilevel"/>
    <w:tmpl w:val="6BA2B86A"/>
    <w:lvl w:ilvl="0" w:tplc="1E02A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13556"/>
    <w:multiLevelType w:val="hybridMultilevel"/>
    <w:tmpl w:val="C602D51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F2E1F"/>
    <w:multiLevelType w:val="hybridMultilevel"/>
    <w:tmpl w:val="57500D6E"/>
    <w:lvl w:ilvl="0" w:tplc="1D9423E2">
      <w:start w:val="1"/>
      <w:numFmt w:val="decimal"/>
      <w:lvlText w:val="(%1)"/>
      <w:lvlJc w:val="left"/>
      <w:pPr>
        <w:ind w:left="643" w:hanging="360"/>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514D30BE"/>
    <w:multiLevelType w:val="hybridMultilevel"/>
    <w:tmpl w:val="C602D51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057064">
    <w:abstractNumId w:val="3"/>
  </w:num>
  <w:num w:numId="2" w16cid:durableId="372846962">
    <w:abstractNumId w:val="2"/>
  </w:num>
  <w:num w:numId="3" w16cid:durableId="524100928">
    <w:abstractNumId w:val="4"/>
  </w:num>
  <w:num w:numId="4" w16cid:durableId="2049648151">
    <w:abstractNumId w:val="0"/>
  </w:num>
  <w:num w:numId="5" w16cid:durableId="98613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5"/>
    <w:rsid w:val="00024F0A"/>
    <w:rsid w:val="000E2A68"/>
    <w:rsid w:val="001222AA"/>
    <w:rsid w:val="001B7DE7"/>
    <w:rsid w:val="00282D38"/>
    <w:rsid w:val="002A4997"/>
    <w:rsid w:val="002D0D6E"/>
    <w:rsid w:val="00363386"/>
    <w:rsid w:val="00366B2B"/>
    <w:rsid w:val="0041777B"/>
    <w:rsid w:val="004B22DA"/>
    <w:rsid w:val="004C1A46"/>
    <w:rsid w:val="004E5EF0"/>
    <w:rsid w:val="0054058C"/>
    <w:rsid w:val="005724A0"/>
    <w:rsid w:val="005875D6"/>
    <w:rsid w:val="0062501F"/>
    <w:rsid w:val="00630103"/>
    <w:rsid w:val="0065080E"/>
    <w:rsid w:val="006608A8"/>
    <w:rsid w:val="00675FEC"/>
    <w:rsid w:val="006C5CD1"/>
    <w:rsid w:val="006D2031"/>
    <w:rsid w:val="00797549"/>
    <w:rsid w:val="007A6B56"/>
    <w:rsid w:val="008663D0"/>
    <w:rsid w:val="008E32F2"/>
    <w:rsid w:val="00985796"/>
    <w:rsid w:val="00A1582F"/>
    <w:rsid w:val="00A26755"/>
    <w:rsid w:val="00A3734D"/>
    <w:rsid w:val="00A43B7C"/>
    <w:rsid w:val="00AA0337"/>
    <w:rsid w:val="00B81060"/>
    <w:rsid w:val="00B82D75"/>
    <w:rsid w:val="00C05D86"/>
    <w:rsid w:val="00D441A6"/>
    <w:rsid w:val="00D82524"/>
    <w:rsid w:val="00E813BF"/>
    <w:rsid w:val="00EB5570"/>
    <w:rsid w:val="00EC6579"/>
    <w:rsid w:val="00EF1FF7"/>
    <w:rsid w:val="00F045A9"/>
    <w:rsid w:val="00F16509"/>
    <w:rsid w:val="00F91B85"/>
    <w:rsid w:val="00F95112"/>
    <w:rsid w:val="00F96B48"/>
    <w:rsid w:val="00FF1718"/>
    <w:rsid w:val="00FF5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00DA8D2"/>
  <w15:chartTrackingRefBased/>
  <w15:docId w15:val="{3049F6E8-A5A7-6B43-8A39-AC8FB67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7B"/>
    <w:pPr>
      <w:ind w:leftChars="200" w:left="480"/>
    </w:pPr>
  </w:style>
  <w:style w:type="paragraph" w:styleId="Web">
    <w:name w:val="Normal (Web)"/>
    <w:basedOn w:val="a"/>
    <w:uiPriority w:val="99"/>
    <w:semiHidden/>
    <w:unhideWhenUsed/>
    <w:rsid w:val="007A6B5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3519">
      <w:bodyDiv w:val="1"/>
      <w:marLeft w:val="0"/>
      <w:marRight w:val="0"/>
      <w:marTop w:val="0"/>
      <w:marBottom w:val="0"/>
      <w:divBdr>
        <w:top w:val="none" w:sz="0" w:space="0" w:color="auto"/>
        <w:left w:val="none" w:sz="0" w:space="0" w:color="auto"/>
        <w:bottom w:val="none" w:sz="0" w:space="0" w:color="auto"/>
        <w:right w:val="none" w:sz="0" w:space="0" w:color="auto"/>
      </w:divBdr>
      <w:divsChild>
        <w:div w:id="1637182506">
          <w:marLeft w:val="0"/>
          <w:marRight w:val="0"/>
          <w:marTop w:val="0"/>
          <w:marBottom w:val="0"/>
          <w:divBdr>
            <w:top w:val="none" w:sz="0" w:space="0" w:color="auto"/>
            <w:left w:val="none" w:sz="0" w:space="0" w:color="auto"/>
            <w:bottom w:val="none" w:sz="0" w:space="0" w:color="auto"/>
            <w:right w:val="none" w:sz="0" w:space="0" w:color="auto"/>
          </w:divBdr>
          <w:divsChild>
            <w:div w:id="166405912">
              <w:marLeft w:val="0"/>
              <w:marRight w:val="0"/>
              <w:marTop w:val="0"/>
              <w:marBottom w:val="0"/>
              <w:divBdr>
                <w:top w:val="none" w:sz="0" w:space="0" w:color="auto"/>
                <w:left w:val="none" w:sz="0" w:space="0" w:color="auto"/>
                <w:bottom w:val="none" w:sz="0" w:space="0" w:color="auto"/>
                <w:right w:val="none" w:sz="0" w:space="0" w:color="auto"/>
              </w:divBdr>
              <w:divsChild>
                <w:div w:id="649602598">
                  <w:marLeft w:val="0"/>
                  <w:marRight w:val="0"/>
                  <w:marTop w:val="0"/>
                  <w:marBottom w:val="0"/>
                  <w:divBdr>
                    <w:top w:val="none" w:sz="0" w:space="0" w:color="auto"/>
                    <w:left w:val="none" w:sz="0" w:space="0" w:color="auto"/>
                    <w:bottom w:val="none" w:sz="0" w:space="0" w:color="auto"/>
                    <w:right w:val="none" w:sz="0" w:space="0" w:color="auto"/>
                  </w:divBdr>
                  <w:divsChild>
                    <w:div w:id="12563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5694">
      <w:bodyDiv w:val="1"/>
      <w:marLeft w:val="0"/>
      <w:marRight w:val="0"/>
      <w:marTop w:val="0"/>
      <w:marBottom w:val="0"/>
      <w:divBdr>
        <w:top w:val="none" w:sz="0" w:space="0" w:color="auto"/>
        <w:left w:val="none" w:sz="0" w:space="0" w:color="auto"/>
        <w:bottom w:val="none" w:sz="0" w:space="0" w:color="auto"/>
        <w:right w:val="none" w:sz="0" w:space="0" w:color="auto"/>
      </w:divBdr>
      <w:divsChild>
        <w:div w:id="222757158">
          <w:marLeft w:val="0"/>
          <w:marRight w:val="0"/>
          <w:marTop w:val="0"/>
          <w:marBottom w:val="0"/>
          <w:divBdr>
            <w:top w:val="none" w:sz="0" w:space="0" w:color="auto"/>
            <w:left w:val="none" w:sz="0" w:space="0" w:color="auto"/>
            <w:bottom w:val="none" w:sz="0" w:space="0" w:color="auto"/>
            <w:right w:val="none" w:sz="0" w:space="0" w:color="auto"/>
          </w:divBdr>
          <w:divsChild>
            <w:div w:id="1946813360">
              <w:marLeft w:val="0"/>
              <w:marRight w:val="0"/>
              <w:marTop w:val="0"/>
              <w:marBottom w:val="0"/>
              <w:divBdr>
                <w:top w:val="none" w:sz="0" w:space="0" w:color="auto"/>
                <w:left w:val="none" w:sz="0" w:space="0" w:color="auto"/>
                <w:bottom w:val="none" w:sz="0" w:space="0" w:color="auto"/>
                <w:right w:val="none" w:sz="0" w:space="0" w:color="auto"/>
              </w:divBdr>
              <w:divsChild>
                <w:div w:id="6870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7426">
      <w:bodyDiv w:val="1"/>
      <w:marLeft w:val="0"/>
      <w:marRight w:val="0"/>
      <w:marTop w:val="0"/>
      <w:marBottom w:val="0"/>
      <w:divBdr>
        <w:top w:val="none" w:sz="0" w:space="0" w:color="auto"/>
        <w:left w:val="none" w:sz="0" w:space="0" w:color="auto"/>
        <w:bottom w:val="none" w:sz="0" w:space="0" w:color="auto"/>
        <w:right w:val="none" w:sz="0" w:space="0" w:color="auto"/>
      </w:divBdr>
    </w:div>
    <w:div w:id="1283263298">
      <w:bodyDiv w:val="1"/>
      <w:marLeft w:val="0"/>
      <w:marRight w:val="0"/>
      <w:marTop w:val="0"/>
      <w:marBottom w:val="0"/>
      <w:divBdr>
        <w:top w:val="none" w:sz="0" w:space="0" w:color="auto"/>
        <w:left w:val="none" w:sz="0" w:space="0" w:color="auto"/>
        <w:bottom w:val="none" w:sz="0" w:space="0" w:color="auto"/>
        <w:right w:val="none" w:sz="0" w:space="0" w:color="auto"/>
      </w:divBdr>
      <w:divsChild>
        <w:div w:id="474295014">
          <w:marLeft w:val="0"/>
          <w:marRight w:val="0"/>
          <w:marTop w:val="0"/>
          <w:marBottom w:val="0"/>
          <w:divBdr>
            <w:top w:val="none" w:sz="0" w:space="0" w:color="auto"/>
            <w:left w:val="none" w:sz="0" w:space="0" w:color="auto"/>
            <w:bottom w:val="none" w:sz="0" w:space="0" w:color="auto"/>
            <w:right w:val="none" w:sz="0" w:space="0" w:color="auto"/>
          </w:divBdr>
          <w:divsChild>
            <w:div w:id="1212498779">
              <w:marLeft w:val="0"/>
              <w:marRight w:val="0"/>
              <w:marTop w:val="0"/>
              <w:marBottom w:val="0"/>
              <w:divBdr>
                <w:top w:val="none" w:sz="0" w:space="0" w:color="auto"/>
                <w:left w:val="none" w:sz="0" w:space="0" w:color="auto"/>
                <w:bottom w:val="none" w:sz="0" w:space="0" w:color="auto"/>
                <w:right w:val="none" w:sz="0" w:space="0" w:color="auto"/>
              </w:divBdr>
              <w:divsChild>
                <w:div w:id="1811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6117">
      <w:bodyDiv w:val="1"/>
      <w:marLeft w:val="0"/>
      <w:marRight w:val="0"/>
      <w:marTop w:val="0"/>
      <w:marBottom w:val="0"/>
      <w:divBdr>
        <w:top w:val="none" w:sz="0" w:space="0" w:color="auto"/>
        <w:left w:val="none" w:sz="0" w:space="0" w:color="auto"/>
        <w:bottom w:val="none" w:sz="0" w:space="0" w:color="auto"/>
        <w:right w:val="none" w:sz="0" w:space="0" w:color="auto"/>
      </w:divBdr>
      <w:divsChild>
        <w:div w:id="2093382533">
          <w:marLeft w:val="0"/>
          <w:marRight w:val="0"/>
          <w:marTop w:val="0"/>
          <w:marBottom w:val="0"/>
          <w:divBdr>
            <w:top w:val="none" w:sz="0" w:space="0" w:color="auto"/>
            <w:left w:val="none" w:sz="0" w:space="0" w:color="auto"/>
            <w:bottom w:val="none" w:sz="0" w:space="0" w:color="auto"/>
            <w:right w:val="none" w:sz="0" w:space="0" w:color="auto"/>
          </w:divBdr>
          <w:divsChild>
            <w:div w:id="1110658617">
              <w:marLeft w:val="0"/>
              <w:marRight w:val="0"/>
              <w:marTop w:val="0"/>
              <w:marBottom w:val="0"/>
              <w:divBdr>
                <w:top w:val="none" w:sz="0" w:space="0" w:color="auto"/>
                <w:left w:val="none" w:sz="0" w:space="0" w:color="auto"/>
                <w:bottom w:val="none" w:sz="0" w:space="0" w:color="auto"/>
                <w:right w:val="none" w:sz="0" w:space="0" w:color="auto"/>
              </w:divBdr>
              <w:divsChild>
                <w:div w:id="2076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437">
      <w:bodyDiv w:val="1"/>
      <w:marLeft w:val="0"/>
      <w:marRight w:val="0"/>
      <w:marTop w:val="0"/>
      <w:marBottom w:val="0"/>
      <w:divBdr>
        <w:top w:val="none" w:sz="0" w:space="0" w:color="auto"/>
        <w:left w:val="none" w:sz="0" w:space="0" w:color="auto"/>
        <w:bottom w:val="none" w:sz="0" w:space="0" w:color="auto"/>
        <w:right w:val="none" w:sz="0" w:space="0" w:color="auto"/>
      </w:divBdr>
      <w:divsChild>
        <w:div w:id="1059668736">
          <w:marLeft w:val="0"/>
          <w:marRight w:val="0"/>
          <w:marTop w:val="0"/>
          <w:marBottom w:val="0"/>
          <w:divBdr>
            <w:top w:val="none" w:sz="0" w:space="0" w:color="auto"/>
            <w:left w:val="none" w:sz="0" w:space="0" w:color="auto"/>
            <w:bottom w:val="none" w:sz="0" w:space="0" w:color="auto"/>
            <w:right w:val="none" w:sz="0" w:space="0" w:color="auto"/>
          </w:divBdr>
          <w:divsChild>
            <w:div w:id="1308511082">
              <w:marLeft w:val="0"/>
              <w:marRight w:val="0"/>
              <w:marTop w:val="0"/>
              <w:marBottom w:val="0"/>
              <w:divBdr>
                <w:top w:val="none" w:sz="0" w:space="0" w:color="auto"/>
                <w:left w:val="none" w:sz="0" w:space="0" w:color="auto"/>
                <w:bottom w:val="none" w:sz="0" w:space="0" w:color="auto"/>
                <w:right w:val="none" w:sz="0" w:space="0" w:color="auto"/>
              </w:divBdr>
              <w:divsChild>
                <w:div w:id="8510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301">
      <w:bodyDiv w:val="1"/>
      <w:marLeft w:val="0"/>
      <w:marRight w:val="0"/>
      <w:marTop w:val="0"/>
      <w:marBottom w:val="0"/>
      <w:divBdr>
        <w:top w:val="none" w:sz="0" w:space="0" w:color="auto"/>
        <w:left w:val="none" w:sz="0" w:space="0" w:color="auto"/>
        <w:bottom w:val="none" w:sz="0" w:space="0" w:color="auto"/>
        <w:right w:val="none" w:sz="0" w:space="0" w:color="auto"/>
      </w:divBdr>
      <w:divsChild>
        <w:div w:id="178929114">
          <w:marLeft w:val="0"/>
          <w:marRight w:val="0"/>
          <w:marTop w:val="0"/>
          <w:marBottom w:val="0"/>
          <w:divBdr>
            <w:top w:val="none" w:sz="0" w:space="0" w:color="auto"/>
            <w:left w:val="none" w:sz="0" w:space="0" w:color="auto"/>
            <w:bottom w:val="none" w:sz="0" w:space="0" w:color="auto"/>
            <w:right w:val="none" w:sz="0" w:space="0" w:color="auto"/>
          </w:divBdr>
          <w:divsChild>
            <w:div w:id="1382245110">
              <w:marLeft w:val="0"/>
              <w:marRight w:val="0"/>
              <w:marTop w:val="0"/>
              <w:marBottom w:val="0"/>
              <w:divBdr>
                <w:top w:val="none" w:sz="0" w:space="0" w:color="auto"/>
                <w:left w:val="none" w:sz="0" w:space="0" w:color="auto"/>
                <w:bottom w:val="none" w:sz="0" w:space="0" w:color="auto"/>
                <w:right w:val="none" w:sz="0" w:space="0" w:color="auto"/>
              </w:divBdr>
              <w:divsChild>
                <w:div w:id="1945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dc:creator>
  <cp:keywords/>
  <dc:description/>
  <cp:lastModifiedBy>Tsai</cp:lastModifiedBy>
  <cp:revision>5</cp:revision>
  <dcterms:created xsi:type="dcterms:W3CDTF">2025-04-13T06:26:00Z</dcterms:created>
  <dcterms:modified xsi:type="dcterms:W3CDTF">2025-04-23T08:12:00Z</dcterms:modified>
</cp:coreProperties>
</file>