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5F2C" w:rsidRPr="005A6086" w:rsidRDefault="00475F2C" w:rsidP="00475F2C">
      <w:pPr>
        <w:jc w:val="center"/>
        <w:rPr>
          <w:rFonts w:cstheme="minorHAnsi"/>
          <w:b/>
          <w:bCs/>
          <w:sz w:val="28"/>
          <w:szCs w:val="28"/>
        </w:rPr>
      </w:pPr>
      <w:r w:rsidRPr="005A6086">
        <w:rPr>
          <w:rFonts w:cstheme="minorHAnsi"/>
          <w:b/>
          <w:bCs/>
          <w:sz w:val="28"/>
          <w:szCs w:val="28"/>
        </w:rPr>
        <w:t>Department of Entomology, College of Bioresources and Agriculture</w:t>
      </w:r>
    </w:p>
    <w:p w:rsidR="00475F2C" w:rsidRPr="005A6086" w:rsidRDefault="00475F2C" w:rsidP="00475F2C">
      <w:pPr>
        <w:jc w:val="center"/>
        <w:rPr>
          <w:rFonts w:cstheme="minorHAnsi"/>
          <w:b/>
          <w:bCs/>
          <w:sz w:val="28"/>
          <w:szCs w:val="28"/>
        </w:rPr>
      </w:pPr>
      <w:r w:rsidRPr="005A6086">
        <w:rPr>
          <w:rFonts w:cstheme="minorHAnsi"/>
          <w:b/>
          <w:bCs/>
          <w:sz w:val="28"/>
          <w:szCs w:val="28"/>
        </w:rPr>
        <w:t>National Taiwan University</w:t>
      </w:r>
    </w:p>
    <w:p w:rsidR="00475F2C" w:rsidRPr="005A6086" w:rsidRDefault="00475F2C" w:rsidP="00475F2C">
      <w:pPr>
        <w:snapToGrid w:val="0"/>
        <w:contextualSpacing/>
        <w:jc w:val="center"/>
        <w:rPr>
          <w:rFonts w:cstheme="minorHAnsi"/>
          <w:b/>
          <w:bCs/>
          <w:sz w:val="28"/>
          <w:szCs w:val="28"/>
        </w:rPr>
      </w:pPr>
    </w:p>
    <w:p w:rsidR="00B82D75" w:rsidRPr="005A6086" w:rsidRDefault="00401C7E" w:rsidP="00A26755">
      <w:pPr>
        <w:jc w:val="center"/>
        <w:rPr>
          <w:rFonts w:cstheme="minorHAnsi"/>
          <w:b/>
          <w:bCs/>
          <w:sz w:val="28"/>
          <w:szCs w:val="28"/>
        </w:rPr>
      </w:pPr>
      <w:r w:rsidRPr="005A6086">
        <w:rPr>
          <w:rFonts w:cstheme="minorHAnsi"/>
          <w:b/>
          <w:bCs/>
          <w:sz w:val="28"/>
          <w:szCs w:val="28"/>
        </w:rPr>
        <w:t>Guidelines for the Establishment of Undergraduate Honors Program</w:t>
      </w:r>
    </w:p>
    <w:p w:rsidR="000E2A68" w:rsidRPr="005A6086" w:rsidRDefault="000E2A68" w:rsidP="000E2A68">
      <w:pPr>
        <w:tabs>
          <w:tab w:val="left" w:pos="993"/>
        </w:tabs>
        <w:snapToGrid w:val="0"/>
        <w:jc w:val="right"/>
        <w:rPr>
          <w:rFonts w:cstheme="minorHAnsi"/>
          <w:sz w:val="13"/>
          <w:szCs w:val="13"/>
        </w:rPr>
      </w:pPr>
    </w:p>
    <w:p w:rsidR="00F01410" w:rsidRPr="005A6086" w:rsidRDefault="00F01410" w:rsidP="00F01410">
      <w:pPr>
        <w:tabs>
          <w:tab w:val="left" w:pos="993"/>
        </w:tabs>
        <w:snapToGrid w:val="0"/>
        <w:jc w:val="right"/>
        <w:rPr>
          <w:rFonts w:cstheme="minorHAnsi"/>
          <w:sz w:val="13"/>
          <w:szCs w:val="13"/>
        </w:rPr>
      </w:pPr>
      <w:proofErr w:type="gramStart"/>
      <w:r w:rsidRPr="005A6086">
        <w:rPr>
          <w:rFonts w:cstheme="minorHAnsi"/>
          <w:sz w:val="13"/>
          <w:szCs w:val="13"/>
        </w:rPr>
        <w:t xml:space="preserve">113.03.28  </w:t>
      </w:r>
      <w:r w:rsidR="006A6DFA" w:rsidRPr="005A6086">
        <w:rPr>
          <w:rFonts w:cstheme="minorHAnsi"/>
          <w:sz w:val="13"/>
          <w:szCs w:val="13"/>
        </w:rPr>
        <w:t>Passed</w:t>
      </w:r>
      <w:proofErr w:type="gramEnd"/>
      <w:r w:rsidR="006A6DFA" w:rsidRPr="005A6086">
        <w:rPr>
          <w:rFonts w:cstheme="minorHAnsi"/>
          <w:sz w:val="13"/>
          <w:szCs w:val="13"/>
        </w:rPr>
        <w:t xml:space="preserve"> by</w:t>
      </w:r>
      <w:r w:rsidRPr="005A6086">
        <w:rPr>
          <w:rFonts w:cstheme="minorHAnsi"/>
          <w:sz w:val="13"/>
          <w:szCs w:val="13"/>
        </w:rPr>
        <w:t xml:space="preserve"> the first Department’s Curriculum Committee Meeting of the second semester, 112 </w:t>
      </w:r>
      <w:r w:rsidR="006A6DFA" w:rsidRPr="005A6086">
        <w:rPr>
          <w:rFonts w:cstheme="minorHAnsi"/>
          <w:sz w:val="13"/>
          <w:szCs w:val="13"/>
        </w:rPr>
        <w:t>A</w:t>
      </w:r>
      <w:r w:rsidRPr="005A6086">
        <w:rPr>
          <w:rFonts w:cstheme="minorHAnsi"/>
          <w:sz w:val="13"/>
          <w:szCs w:val="13"/>
        </w:rPr>
        <w:t xml:space="preserve">cademic </w:t>
      </w:r>
      <w:r w:rsidR="006A6DFA" w:rsidRPr="005A6086">
        <w:rPr>
          <w:rFonts w:cstheme="minorHAnsi"/>
          <w:sz w:val="13"/>
          <w:szCs w:val="13"/>
        </w:rPr>
        <w:t>Y</w:t>
      </w:r>
      <w:r w:rsidRPr="005A6086">
        <w:rPr>
          <w:rFonts w:cstheme="minorHAnsi"/>
          <w:sz w:val="13"/>
          <w:szCs w:val="13"/>
        </w:rPr>
        <w:t>ear.</w:t>
      </w:r>
    </w:p>
    <w:p w:rsidR="00F01410" w:rsidRPr="005A6086" w:rsidRDefault="00F01410" w:rsidP="00F01410">
      <w:pPr>
        <w:tabs>
          <w:tab w:val="left" w:pos="993"/>
        </w:tabs>
        <w:snapToGrid w:val="0"/>
        <w:jc w:val="right"/>
        <w:rPr>
          <w:rFonts w:cstheme="minorHAnsi"/>
          <w:sz w:val="13"/>
          <w:szCs w:val="13"/>
        </w:rPr>
      </w:pPr>
      <w:proofErr w:type="gramStart"/>
      <w:r w:rsidRPr="005A6086">
        <w:rPr>
          <w:rFonts w:cstheme="minorHAnsi"/>
          <w:sz w:val="13"/>
          <w:szCs w:val="13"/>
        </w:rPr>
        <w:t xml:space="preserve">113.04.12  </w:t>
      </w:r>
      <w:r w:rsidR="006A6DFA" w:rsidRPr="005A6086">
        <w:rPr>
          <w:rFonts w:cstheme="minorHAnsi"/>
          <w:sz w:val="13"/>
          <w:szCs w:val="13"/>
        </w:rPr>
        <w:t>Passed</w:t>
      </w:r>
      <w:proofErr w:type="gramEnd"/>
      <w:r w:rsidR="006A6DFA" w:rsidRPr="005A6086">
        <w:rPr>
          <w:rFonts w:cstheme="minorHAnsi"/>
          <w:sz w:val="13"/>
          <w:szCs w:val="13"/>
        </w:rPr>
        <w:t xml:space="preserve"> by</w:t>
      </w:r>
      <w:r w:rsidRPr="005A6086">
        <w:rPr>
          <w:rFonts w:cstheme="minorHAnsi"/>
          <w:sz w:val="13"/>
          <w:szCs w:val="13"/>
        </w:rPr>
        <w:t xml:space="preserve"> the first Departmental Affairs Meeting of the second semester, 112 </w:t>
      </w:r>
      <w:r w:rsidR="006A6DFA" w:rsidRPr="005A6086">
        <w:rPr>
          <w:rFonts w:cstheme="minorHAnsi"/>
          <w:sz w:val="13"/>
          <w:szCs w:val="13"/>
        </w:rPr>
        <w:t>A</w:t>
      </w:r>
      <w:r w:rsidRPr="005A6086">
        <w:rPr>
          <w:rFonts w:cstheme="minorHAnsi"/>
          <w:sz w:val="13"/>
          <w:szCs w:val="13"/>
        </w:rPr>
        <w:t>cademic</w:t>
      </w:r>
      <w:r w:rsidR="006A6DFA" w:rsidRPr="005A6086">
        <w:rPr>
          <w:rFonts w:cstheme="minorHAnsi"/>
          <w:sz w:val="13"/>
          <w:szCs w:val="13"/>
        </w:rPr>
        <w:t xml:space="preserve"> Y</w:t>
      </w:r>
      <w:r w:rsidRPr="005A6086">
        <w:rPr>
          <w:rFonts w:cstheme="minorHAnsi"/>
          <w:sz w:val="13"/>
          <w:szCs w:val="13"/>
        </w:rPr>
        <w:t>ear.</w:t>
      </w:r>
    </w:p>
    <w:p w:rsidR="00F01410" w:rsidRPr="005A6086" w:rsidRDefault="00F01410" w:rsidP="00F01410">
      <w:pPr>
        <w:tabs>
          <w:tab w:val="left" w:pos="993"/>
        </w:tabs>
        <w:snapToGrid w:val="0"/>
        <w:jc w:val="right"/>
        <w:rPr>
          <w:rFonts w:cstheme="minorHAnsi"/>
          <w:sz w:val="13"/>
          <w:szCs w:val="13"/>
        </w:rPr>
      </w:pPr>
      <w:proofErr w:type="gramStart"/>
      <w:r w:rsidRPr="005A6086">
        <w:rPr>
          <w:rFonts w:cstheme="minorHAnsi"/>
          <w:sz w:val="13"/>
          <w:szCs w:val="13"/>
        </w:rPr>
        <w:t xml:space="preserve">113.05.20  </w:t>
      </w:r>
      <w:r w:rsidR="006A6DFA" w:rsidRPr="005A6086">
        <w:rPr>
          <w:rFonts w:cstheme="minorHAnsi"/>
          <w:sz w:val="13"/>
          <w:szCs w:val="13"/>
        </w:rPr>
        <w:t>Passed</w:t>
      </w:r>
      <w:proofErr w:type="gramEnd"/>
      <w:r w:rsidR="006A6DFA" w:rsidRPr="005A6086">
        <w:rPr>
          <w:rFonts w:cstheme="minorHAnsi"/>
          <w:sz w:val="13"/>
          <w:szCs w:val="13"/>
        </w:rPr>
        <w:t xml:space="preserve"> by</w:t>
      </w:r>
      <w:r w:rsidRPr="005A6086">
        <w:rPr>
          <w:rFonts w:cstheme="minorHAnsi"/>
          <w:sz w:val="13"/>
          <w:szCs w:val="13"/>
        </w:rPr>
        <w:t xml:space="preserve"> the 277th College Affairs Meeting.</w:t>
      </w:r>
    </w:p>
    <w:p w:rsidR="00C05D86" w:rsidRPr="005A6086" w:rsidRDefault="00C05D86" w:rsidP="000E2A68">
      <w:pPr>
        <w:tabs>
          <w:tab w:val="left" w:pos="993"/>
        </w:tabs>
        <w:snapToGrid w:val="0"/>
        <w:jc w:val="right"/>
        <w:rPr>
          <w:rFonts w:cstheme="minorHAnsi"/>
          <w:sz w:val="13"/>
          <w:szCs w:val="13"/>
        </w:rPr>
      </w:pPr>
      <w:proofErr w:type="gramStart"/>
      <w:r w:rsidRPr="005A6086">
        <w:rPr>
          <w:rFonts w:cstheme="minorHAnsi"/>
          <w:sz w:val="13"/>
          <w:szCs w:val="13"/>
        </w:rPr>
        <w:t>113.</w:t>
      </w:r>
      <w:r w:rsidR="00F01410" w:rsidRPr="005A6086">
        <w:rPr>
          <w:rFonts w:cstheme="minorHAnsi"/>
          <w:sz w:val="13"/>
          <w:szCs w:val="13"/>
        </w:rPr>
        <w:t>10</w:t>
      </w:r>
      <w:r w:rsidRPr="005A6086">
        <w:rPr>
          <w:rFonts w:cstheme="minorHAnsi"/>
          <w:sz w:val="13"/>
          <w:szCs w:val="13"/>
        </w:rPr>
        <w:t>.</w:t>
      </w:r>
      <w:r w:rsidR="00F01410" w:rsidRPr="005A6086">
        <w:rPr>
          <w:rFonts w:cstheme="minorHAnsi"/>
          <w:sz w:val="13"/>
          <w:szCs w:val="13"/>
        </w:rPr>
        <w:t>18</w:t>
      </w:r>
      <w:r w:rsidR="000E2A68" w:rsidRPr="005A6086">
        <w:rPr>
          <w:rFonts w:cstheme="minorHAnsi"/>
          <w:sz w:val="13"/>
          <w:szCs w:val="13"/>
        </w:rPr>
        <w:t xml:space="preserve">  </w:t>
      </w:r>
      <w:r w:rsidR="006A6DFA" w:rsidRPr="005A6086">
        <w:rPr>
          <w:rFonts w:cstheme="minorHAnsi"/>
          <w:sz w:val="13"/>
          <w:szCs w:val="13"/>
        </w:rPr>
        <w:t>Passed</w:t>
      </w:r>
      <w:proofErr w:type="gramEnd"/>
      <w:r w:rsidR="006A6DFA" w:rsidRPr="005A6086">
        <w:rPr>
          <w:rFonts w:cstheme="minorHAnsi"/>
          <w:sz w:val="13"/>
          <w:szCs w:val="13"/>
        </w:rPr>
        <w:t xml:space="preserve"> by</w:t>
      </w:r>
      <w:r w:rsidR="00635B7F" w:rsidRPr="005A6086">
        <w:rPr>
          <w:rFonts w:cstheme="minorHAnsi"/>
          <w:sz w:val="13"/>
          <w:szCs w:val="13"/>
        </w:rPr>
        <w:t xml:space="preserve"> the first University‘s Academic Affairs Meeting of the first semester, 113 </w:t>
      </w:r>
      <w:r w:rsidR="006A6DFA" w:rsidRPr="005A6086">
        <w:rPr>
          <w:rFonts w:cstheme="minorHAnsi"/>
          <w:sz w:val="13"/>
          <w:szCs w:val="13"/>
        </w:rPr>
        <w:t>A</w:t>
      </w:r>
      <w:r w:rsidR="00635B7F" w:rsidRPr="005A6086">
        <w:rPr>
          <w:rFonts w:cstheme="minorHAnsi"/>
          <w:sz w:val="13"/>
          <w:szCs w:val="13"/>
        </w:rPr>
        <w:t xml:space="preserve">cademic </w:t>
      </w:r>
      <w:r w:rsidR="006A6DFA" w:rsidRPr="005A6086">
        <w:rPr>
          <w:rFonts w:cstheme="minorHAnsi"/>
          <w:sz w:val="13"/>
          <w:szCs w:val="13"/>
        </w:rPr>
        <w:t>Y</w:t>
      </w:r>
      <w:r w:rsidR="00635B7F" w:rsidRPr="005A6086">
        <w:rPr>
          <w:rFonts w:cstheme="minorHAnsi"/>
          <w:sz w:val="13"/>
          <w:szCs w:val="13"/>
        </w:rPr>
        <w:t>ear</w:t>
      </w:r>
      <w:r w:rsidRPr="005A6086">
        <w:rPr>
          <w:rFonts w:cstheme="minorHAnsi"/>
          <w:sz w:val="13"/>
          <w:szCs w:val="13"/>
        </w:rPr>
        <w:t>.</w:t>
      </w:r>
    </w:p>
    <w:p w:rsidR="00C05D86" w:rsidRPr="005A6086" w:rsidRDefault="006A6DFA" w:rsidP="00885DF4">
      <w:pPr>
        <w:pStyle w:val="a3"/>
        <w:numPr>
          <w:ilvl w:val="2"/>
          <w:numId w:val="7"/>
        </w:numPr>
        <w:tabs>
          <w:tab w:val="left" w:pos="993"/>
        </w:tabs>
        <w:snapToGrid w:val="0"/>
        <w:ind w:leftChars="0"/>
        <w:jc w:val="right"/>
        <w:rPr>
          <w:rFonts w:cstheme="minorHAnsi"/>
          <w:sz w:val="13"/>
          <w:szCs w:val="13"/>
        </w:rPr>
      </w:pPr>
      <w:r w:rsidRPr="005A6086">
        <w:rPr>
          <w:rFonts w:cstheme="minorHAnsi"/>
          <w:sz w:val="13"/>
          <w:szCs w:val="13"/>
        </w:rPr>
        <w:t>Promulgation of a</w:t>
      </w:r>
      <w:r w:rsidRPr="005A6086">
        <w:rPr>
          <w:rFonts w:cstheme="minorHAnsi"/>
          <w:sz w:val="13"/>
          <w:szCs w:val="13"/>
        </w:rPr>
        <w:t>ll</w:t>
      </w:r>
      <w:r w:rsidRPr="005A6086">
        <w:rPr>
          <w:rFonts w:cstheme="minorHAnsi"/>
          <w:sz w:val="13"/>
          <w:szCs w:val="13"/>
        </w:rPr>
        <w:t xml:space="preserve"> Articles</w:t>
      </w:r>
      <w:r w:rsidR="00C05D86" w:rsidRPr="005A6086">
        <w:rPr>
          <w:rFonts w:cstheme="minorHAnsi"/>
          <w:sz w:val="13"/>
          <w:szCs w:val="13"/>
        </w:rPr>
        <w:t>.</w:t>
      </w:r>
    </w:p>
    <w:p w:rsidR="00475F2C" w:rsidRPr="005A6086" w:rsidRDefault="00475F2C" w:rsidP="00475F2C">
      <w:pPr>
        <w:snapToGrid w:val="0"/>
        <w:contextualSpacing/>
        <w:jc w:val="center"/>
        <w:rPr>
          <w:rFonts w:cstheme="minorHAnsi"/>
          <w:b/>
          <w:bCs/>
          <w:sz w:val="28"/>
          <w:szCs w:val="28"/>
        </w:rPr>
      </w:pPr>
    </w:p>
    <w:p w:rsidR="00475F2C" w:rsidRPr="005A6086" w:rsidRDefault="00475F2C" w:rsidP="00475F2C">
      <w:pPr>
        <w:snapToGrid w:val="0"/>
        <w:contextualSpacing/>
        <w:jc w:val="center"/>
        <w:rPr>
          <w:rFonts w:cstheme="minorHAnsi"/>
          <w:b/>
          <w:bCs/>
          <w:sz w:val="28"/>
          <w:szCs w:val="28"/>
        </w:rPr>
      </w:pPr>
    </w:p>
    <w:p w:rsidR="00885DF4" w:rsidRPr="005A6086" w:rsidRDefault="004646ED" w:rsidP="004646ED">
      <w:pPr>
        <w:ind w:left="991" w:hangingChars="413" w:hanging="991"/>
        <w:jc w:val="both"/>
        <w:rPr>
          <w:rFonts w:cstheme="minorHAnsi"/>
        </w:rPr>
      </w:pPr>
      <w:r w:rsidRPr="005A6086">
        <w:rPr>
          <w:rFonts w:cstheme="minorHAnsi"/>
        </w:rPr>
        <w:t>Article 1</w:t>
      </w:r>
      <w:r w:rsidRPr="005A6086">
        <w:rPr>
          <w:rFonts w:cstheme="minorHAnsi"/>
        </w:rPr>
        <w:tab/>
      </w:r>
      <w:r w:rsidR="00AE1D24" w:rsidRPr="005A6086">
        <w:rPr>
          <w:rFonts w:cstheme="minorHAnsi"/>
        </w:rPr>
        <w:t>To encourage academically inclined undergraduate students in their sophomore year or above to pursue advanced coursework and engage in research within specific fields of knowledge, thereby cultivating innovative and globally competitive research talent, the Department of Entomology (hereinafter referred to as "the Department") of the College of Bioresources and Agriculture (hereinafter referred to as "the College") at National Taiwan University (hereinafter referred to as "the University") establishes the Undergraduate Honors Program (hereinafter referred to as "the Program") in accordance with Article 2 of the "National Taiwan University</w:t>
      </w:r>
      <w:r w:rsidR="00B91FE6" w:rsidRPr="005A6086">
        <w:rPr>
          <w:rFonts w:cstheme="minorHAnsi"/>
        </w:rPr>
        <w:t xml:space="preserve"> </w:t>
      </w:r>
      <w:r w:rsidR="00B91FE6" w:rsidRPr="005A6086">
        <w:rPr>
          <w:rFonts w:cstheme="minorHAnsi"/>
        </w:rPr>
        <w:t>Guidelines for the Establishment of Undergraduate Honors Programs</w:t>
      </w:r>
      <w:r w:rsidR="00AE1D24" w:rsidRPr="005A6086">
        <w:rPr>
          <w:rFonts w:cstheme="minorHAnsi"/>
        </w:rPr>
        <w:t>." These guidelines are hereby formulated (hereinafter referred to as "the Guidelines").</w:t>
      </w:r>
    </w:p>
    <w:p w:rsidR="00885DF4" w:rsidRPr="005A6086" w:rsidRDefault="00885DF4" w:rsidP="00885DF4">
      <w:pPr>
        <w:pStyle w:val="a3"/>
        <w:ind w:leftChars="0" w:left="283" w:hangingChars="118" w:hanging="283"/>
        <w:jc w:val="both"/>
        <w:rPr>
          <w:rFonts w:cstheme="minorHAnsi"/>
        </w:rPr>
      </w:pPr>
    </w:p>
    <w:p w:rsidR="00AE1D24" w:rsidRPr="005A6086" w:rsidRDefault="004646ED" w:rsidP="004646ED">
      <w:pPr>
        <w:ind w:left="991" w:hangingChars="413" w:hanging="991"/>
        <w:jc w:val="both"/>
        <w:rPr>
          <w:rFonts w:cstheme="minorHAnsi"/>
        </w:rPr>
      </w:pPr>
      <w:r w:rsidRPr="005A6086">
        <w:rPr>
          <w:rFonts w:cstheme="minorHAnsi"/>
        </w:rPr>
        <w:t xml:space="preserve">Article </w:t>
      </w:r>
      <w:r w:rsidRPr="005A6086">
        <w:rPr>
          <w:rFonts w:cstheme="minorHAnsi"/>
        </w:rPr>
        <w:t>2</w:t>
      </w:r>
      <w:r w:rsidRPr="005A6086">
        <w:rPr>
          <w:rFonts w:cstheme="minorHAnsi"/>
        </w:rPr>
        <w:tab/>
      </w:r>
      <w:r w:rsidR="00AE1D24" w:rsidRPr="005A6086">
        <w:rPr>
          <w:rFonts w:cstheme="minorHAnsi"/>
        </w:rPr>
        <w:t>The Program Director shall be the Chair of the Department.</w:t>
      </w:r>
    </w:p>
    <w:p w:rsidR="00AE1D24" w:rsidRPr="005A6086" w:rsidRDefault="00AE1D24" w:rsidP="004646ED">
      <w:pPr>
        <w:ind w:leftChars="413" w:left="991"/>
        <w:jc w:val="both"/>
        <w:rPr>
          <w:rFonts w:cstheme="minorHAnsi"/>
        </w:rPr>
      </w:pPr>
      <w:r w:rsidRPr="005A6086">
        <w:rPr>
          <w:rFonts w:cstheme="minorHAnsi"/>
        </w:rPr>
        <w:t>An Honors Program Committee (hereinafter referred to as "the Committee") shall be established within the Department, consisting of three to five members. In addition to the Program Director serving as an ex officio member, the remaining members shall be selected from faculty members of the Department’s Curriculum Committee.</w:t>
      </w:r>
    </w:p>
    <w:p w:rsidR="00AE1D24" w:rsidRPr="005A6086" w:rsidRDefault="00AE1D24" w:rsidP="004646ED">
      <w:pPr>
        <w:ind w:leftChars="413" w:left="991"/>
        <w:jc w:val="both"/>
        <w:rPr>
          <w:rFonts w:cstheme="minorHAnsi"/>
        </w:rPr>
      </w:pPr>
    </w:p>
    <w:p w:rsidR="00AE1D24" w:rsidRPr="005A6086" w:rsidRDefault="00AE1D24" w:rsidP="004646ED">
      <w:pPr>
        <w:ind w:leftChars="413" w:left="991"/>
        <w:jc w:val="both"/>
        <w:rPr>
          <w:rFonts w:cstheme="minorHAnsi"/>
        </w:rPr>
      </w:pPr>
      <w:r w:rsidRPr="005A6086">
        <w:rPr>
          <w:rFonts w:cstheme="minorHAnsi"/>
        </w:rPr>
        <w:t>A meeting of the Committee shall be convened only with the attendance of at least two-thirds of all members, and resolutions shall be passed only with the consent of more than half of the attending members.</w:t>
      </w:r>
    </w:p>
    <w:p w:rsidR="00AE1D24" w:rsidRPr="005A6086" w:rsidRDefault="00AE1D24" w:rsidP="004646ED">
      <w:pPr>
        <w:ind w:leftChars="413" w:left="991"/>
        <w:jc w:val="both"/>
        <w:rPr>
          <w:rFonts w:cstheme="minorHAnsi"/>
        </w:rPr>
      </w:pPr>
    </w:p>
    <w:p w:rsidR="00885DF4" w:rsidRPr="005A6086" w:rsidRDefault="00AE1D24" w:rsidP="004646ED">
      <w:pPr>
        <w:ind w:leftChars="118" w:left="283" w:firstLine="710"/>
        <w:jc w:val="both"/>
        <w:rPr>
          <w:rFonts w:cstheme="minorHAnsi"/>
        </w:rPr>
      </w:pPr>
      <w:r w:rsidRPr="005A6086">
        <w:rPr>
          <w:rFonts w:cstheme="minorHAnsi"/>
        </w:rPr>
        <w:t>The duties of the Committee are as follows:</w:t>
      </w:r>
    </w:p>
    <w:p w:rsidR="00885DF4" w:rsidRPr="005A6086" w:rsidRDefault="00AE1D24" w:rsidP="004646ED">
      <w:pPr>
        <w:ind w:leftChars="118" w:left="283" w:firstLine="710"/>
        <w:jc w:val="both"/>
        <w:rPr>
          <w:rFonts w:cstheme="minorHAnsi"/>
        </w:rPr>
      </w:pPr>
      <w:r w:rsidRPr="005A6086">
        <w:rPr>
          <w:rFonts w:cstheme="minorHAnsi"/>
        </w:rPr>
        <w:t>1</w:t>
      </w:r>
      <w:r w:rsidR="004646ED" w:rsidRPr="005A6086">
        <w:rPr>
          <w:rFonts w:cstheme="minorHAnsi"/>
        </w:rPr>
        <w:t>.</w:t>
      </w:r>
      <w:r w:rsidRPr="005A6086">
        <w:rPr>
          <w:rFonts w:cstheme="minorHAnsi"/>
        </w:rPr>
        <w:t xml:space="preserve"> Review of student eligibility for enrollment in the Program.</w:t>
      </w:r>
    </w:p>
    <w:p w:rsidR="00885DF4" w:rsidRPr="005A6086" w:rsidRDefault="00AE1D24" w:rsidP="004646ED">
      <w:pPr>
        <w:ind w:leftChars="118" w:left="283" w:firstLine="710"/>
        <w:jc w:val="both"/>
        <w:rPr>
          <w:rFonts w:cstheme="minorHAnsi"/>
        </w:rPr>
      </w:pPr>
      <w:r w:rsidRPr="005A6086">
        <w:rPr>
          <w:rFonts w:cstheme="minorHAnsi"/>
        </w:rPr>
        <w:t>2</w:t>
      </w:r>
      <w:r w:rsidR="004646ED" w:rsidRPr="005A6086">
        <w:rPr>
          <w:rFonts w:cstheme="minorHAnsi"/>
        </w:rPr>
        <w:t>.</w:t>
      </w:r>
      <w:r w:rsidRPr="005A6086">
        <w:rPr>
          <w:rFonts w:cstheme="minorHAnsi"/>
        </w:rPr>
        <w:t xml:space="preserve"> Confirmation of thesis advisor consent for Program students.</w:t>
      </w:r>
    </w:p>
    <w:p w:rsidR="00885DF4" w:rsidRPr="005A6086" w:rsidRDefault="00AE1D24" w:rsidP="004646ED">
      <w:pPr>
        <w:ind w:leftChars="118" w:left="283" w:firstLine="710"/>
        <w:jc w:val="both"/>
        <w:rPr>
          <w:rFonts w:cstheme="minorHAnsi"/>
        </w:rPr>
      </w:pPr>
      <w:r w:rsidRPr="005A6086">
        <w:rPr>
          <w:rFonts w:cstheme="minorHAnsi"/>
        </w:rPr>
        <w:t>3</w:t>
      </w:r>
      <w:r w:rsidR="004646ED" w:rsidRPr="005A6086">
        <w:rPr>
          <w:rFonts w:cstheme="minorHAnsi"/>
        </w:rPr>
        <w:t>.</w:t>
      </w:r>
      <w:r w:rsidRPr="005A6086">
        <w:rPr>
          <w:rFonts w:cstheme="minorHAnsi"/>
        </w:rPr>
        <w:t xml:space="preserve"> Review of Program course credits.</w:t>
      </w:r>
    </w:p>
    <w:p w:rsidR="00885DF4" w:rsidRPr="005A6086" w:rsidRDefault="00AE1D24" w:rsidP="004646ED">
      <w:pPr>
        <w:ind w:leftChars="118" w:left="283" w:firstLine="710"/>
        <w:jc w:val="both"/>
        <w:rPr>
          <w:rFonts w:cstheme="minorHAnsi"/>
        </w:rPr>
      </w:pPr>
      <w:r w:rsidRPr="005A6086">
        <w:rPr>
          <w:rFonts w:cstheme="minorHAnsi"/>
        </w:rPr>
        <w:t>4</w:t>
      </w:r>
      <w:r w:rsidR="004646ED" w:rsidRPr="005A6086">
        <w:rPr>
          <w:rFonts w:cstheme="minorHAnsi"/>
        </w:rPr>
        <w:t>.</w:t>
      </w:r>
      <w:r w:rsidRPr="005A6086">
        <w:rPr>
          <w:rFonts w:cstheme="minorHAnsi"/>
        </w:rPr>
        <w:t xml:space="preserve"> Evaluation of Program completion.</w:t>
      </w:r>
    </w:p>
    <w:p w:rsidR="00AE1D24" w:rsidRPr="005A6086" w:rsidRDefault="00AE1D24" w:rsidP="004646ED">
      <w:pPr>
        <w:ind w:leftChars="118" w:left="283" w:firstLine="710"/>
        <w:jc w:val="both"/>
        <w:rPr>
          <w:rFonts w:cstheme="minorHAnsi"/>
        </w:rPr>
      </w:pPr>
      <w:r w:rsidRPr="005A6086">
        <w:rPr>
          <w:rFonts w:cstheme="minorHAnsi"/>
        </w:rPr>
        <w:t>5</w:t>
      </w:r>
      <w:r w:rsidR="004646ED" w:rsidRPr="005A6086">
        <w:rPr>
          <w:rFonts w:cstheme="minorHAnsi"/>
        </w:rPr>
        <w:t>.</w:t>
      </w:r>
      <w:r w:rsidRPr="005A6086">
        <w:rPr>
          <w:rFonts w:cstheme="minorHAnsi"/>
        </w:rPr>
        <w:t xml:space="preserve"> Other Program-related affairs.</w:t>
      </w:r>
    </w:p>
    <w:p w:rsidR="00AE1D24" w:rsidRPr="005A6086" w:rsidRDefault="00AE1D24" w:rsidP="00AE1D24">
      <w:pPr>
        <w:jc w:val="both"/>
        <w:rPr>
          <w:rFonts w:cstheme="minorHAnsi"/>
        </w:rPr>
      </w:pPr>
    </w:p>
    <w:p w:rsidR="00AE1D24" w:rsidRPr="005A6086" w:rsidRDefault="004646ED" w:rsidP="00AE1D24">
      <w:pPr>
        <w:jc w:val="both"/>
        <w:rPr>
          <w:rFonts w:cstheme="minorHAnsi"/>
        </w:rPr>
      </w:pPr>
      <w:r w:rsidRPr="005A6086">
        <w:rPr>
          <w:rFonts w:cstheme="minorHAnsi"/>
        </w:rPr>
        <w:t xml:space="preserve">Article </w:t>
      </w:r>
      <w:r w:rsidRPr="005A6086">
        <w:rPr>
          <w:rFonts w:cstheme="minorHAnsi"/>
        </w:rPr>
        <w:t>3</w:t>
      </w:r>
      <w:r w:rsidRPr="005A6086">
        <w:rPr>
          <w:rFonts w:cstheme="minorHAnsi"/>
        </w:rPr>
        <w:tab/>
      </w:r>
      <w:r w:rsidR="00AE1D24" w:rsidRPr="005A6086">
        <w:rPr>
          <w:rFonts w:cstheme="minorHAnsi"/>
        </w:rPr>
        <w:t>Eligibility and Application Procedure</w:t>
      </w:r>
    </w:p>
    <w:p w:rsidR="00AE1D24" w:rsidRPr="005A6086" w:rsidRDefault="00AE1D24" w:rsidP="004646ED">
      <w:pPr>
        <w:ind w:leftChars="413" w:left="991"/>
        <w:jc w:val="both"/>
        <w:rPr>
          <w:rFonts w:cstheme="minorHAnsi"/>
        </w:rPr>
      </w:pPr>
      <w:r w:rsidRPr="005A6086">
        <w:rPr>
          <w:rFonts w:cstheme="minorHAnsi"/>
        </w:rPr>
        <w:t xml:space="preserve">Undergraduate students in the Department (including those with a double major) in their </w:t>
      </w:r>
      <w:r w:rsidR="00885DF4" w:rsidRPr="005A6086">
        <w:rPr>
          <w:rFonts w:cstheme="minorHAnsi"/>
        </w:rPr>
        <w:t>sophomore</w:t>
      </w:r>
      <w:r w:rsidRPr="005A6086">
        <w:rPr>
          <w:rFonts w:cstheme="minorHAnsi"/>
        </w:rPr>
        <w:t xml:space="preserve"> year or above, with a semester GPA of 3.3 or higher, may apply to enroll in the Program.</w:t>
      </w:r>
    </w:p>
    <w:p w:rsidR="00AE1D24" w:rsidRPr="005A6086" w:rsidRDefault="00AE1D24" w:rsidP="004646ED">
      <w:pPr>
        <w:ind w:leftChars="413" w:left="991"/>
        <w:jc w:val="both"/>
        <w:rPr>
          <w:rFonts w:cstheme="minorHAnsi"/>
        </w:rPr>
      </w:pPr>
    </w:p>
    <w:p w:rsidR="00AE1D24" w:rsidRPr="005A6086" w:rsidRDefault="00AE1D24" w:rsidP="004646ED">
      <w:pPr>
        <w:ind w:leftChars="413" w:left="991"/>
        <w:jc w:val="both"/>
        <w:rPr>
          <w:rFonts w:cstheme="minorHAnsi"/>
        </w:rPr>
      </w:pPr>
      <w:r w:rsidRPr="005A6086">
        <w:rPr>
          <w:rFonts w:cstheme="minorHAnsi"/>
        </w:rPr>
        <w:t>Applications must be submitted to the Department by October 31 for the first semester, and by March 31 for the second semester.</w:t>
      </w:r>
    </w:p>
    <w:p w:rsidR="00AE1D24" w:rsidRPr="005A6086" w:rsidRDefault="00AE1D24" w:rsidP="004646ED">
      <w:pPr>
        <w:ind w:leftChars="413" w:left="991"/>
        <w:jc w:val="both"/>
        <w:rPr>
          <w:rFonts w:cstheme="minorHAnsi"/>
        </w:rPr>
      </w:pPr>
    </w:p>
    <w:p w:rsidR="00885DF4" w:rsidRPr="005A6086" w:rsidRDefault="00AE1D24" w:rsidP="004646ED">
      <w:pPr>
        <w:ind w:leftChars="413" w:left="991"/>
        <w:jc w:val="both"/>
        <w:rPr>
          <w:rFonts w:cstheme="minorHAnsi"/>
        </w:rPr>
      </w:pPr>
      <w:r w:rsidRPr="005A6086">
        <w:rPr>
          <w:rFonts w:cstheme="minorHAnsi"/>
        </w:rPr>
        <w:t>Required application documents include:</w:t>
      </w:r>
    </w:p>
    <w:p w:rsidR="00885DF4" w:rsidRPr="005A6086" w:rsidRDefault="004646ED" w:rsidP="005A6086">
      <w:pPr>
        <w:ind w:leftChars="412" w:left="1274" w:hanging="285"/>
        <w:jc w:val="both"/>
        <w:rPr>
          <w:rFonts w:cstheme="minorHAnsi"/>
        </w:rPr>
      </w:pPr>
      <w:r w:rsidRPr="005A6086">
        <w:rPr>
          <w:rFonts w:cstheme="minorHAnsi"/>
        </w:rPr>
        <w:t>1</w:t>
      </w:r>
      <w:r w:rsidRPr="005A6086">
        <w:rPr>
          <w:rFonts w:cstheme="minorHAnsi"/>
        </w:rPr>
        <w:t xml:space="preserve">. </w:t>
      </w:r>
      <w:r w:rsidR="00AE1D24" w:rsidRPr="005A6086">
        <w:rPr>
          <w:rFonts w:cstheme="minorHAnsi"/>
        </w:rPr>
        <w:t xml:space="preserve">Application Form for the Undergraduate Honors Program </w:t>
      </w:r>
      <w:r w:rsidR="00123F73" w:rsidRPr="005A6086">
        <w:rPr>
          <w:rFonts w:cstheme="minorHAnsi"/>
        </w:rPr>
        <w:t>of</w:t>
      </w:r>
      <w:r w:rsidR="00AE1D24" w:rsidRPr="005A6086">
        <w:rPr>
          <w:rFonts w:cstheme="minorHAnsi"/>
        </w:rPr>
        <w:t xml:space="preserve"> the Department of Entomology, </w:t>
      </w:r>
      <w:r w:rsidR="00123F73" w:rsidRPr="005A6086">
        <w:rPr>
          <w:rFonts w:cstheme="minorHAnsi"/>
        </w:rPr>
        <w:t>National Taiwan University</w:t>
      </w:r>
      <w:r w:rsidR="00AE1D24" w:rsidRPr="005A6086">
        <w:rPr>
          <w:rFonts w:cstheme="minorHAnsi"/>
        </w:rPr>
        <w:t>.</w:t>
      </w:r>
    </w:p>
    <w:p w:rsidR="00885DF4" w:rsidRPr="005A6086" w:rsidRDefault="004646ED" w:rsidP="005A6086">
      <w:pPr>
        <w:ind w:leftChars="412" w:left="1274" w:hanging="285"/>
        <w:jc w:val="both"/>
        <w:rPr>
          <w:rFonts w:cstheme="minorHAnsi"/>
        </w:rPr>
      </w:pPr>
      <w:r w:rsidRPr="005A6086">
        <w:rPr>
          <w:rFonts w:cstheme="minorHAnsi"/>
        </w:rPr>
        <w:t>2</w:t>
      </w:r>
      <w:r w:rsidRPr="005A6086">
        <w:rPr>
          <w:rFonts w:cstheme="minorHAnsi"/>
        </w:rPr>
        <w:t xml:space="preserve">. </w:t>
      </w:r>
      <w:r w:rsidR="00AE1D24" w:rsidRPr="005A6086">
        <w:rPr>
          <w:rFonts w:cstheme="minorHAnsi"/>
        </w:rPr>
        <w:t xml:space="preserve">Thesis Advisor Consent Form for the Undergraduate Honors Program </w:t>
      </w:r>
      <w:r w:rsidR="00123F73" w:rsidRPr="005A6086">
        <w:rPr>
          <w:rFonts w:cstheme="minorHAnsi"/>
        </w:rPr>
        <w:t>of the Department of Entomology, National Taiwan University</w:t>
      </w:r>
      <w:r w:rsidR="00AE1D24" w:rsidRPr="005A6086">
        <w:rPr>
          <w:rFonts w:cstheme="minorHAnsi"/>
        </w:rPr>
        <w:t>.</w:t>
      </w:r>
    </w:p>
    <w:p w:rsidR="00AE1D24" w:rsidRPr="005A6086" w:rsidRDefault="004646ED" w:rsidP="005A6086">
      <w:pPr>
        <w:ind w:leftChars="412" w:left="1274" w:hanging="285"/>
        <w:jc w:val="both"/>
        <w:rPr>
          <w:rFonts w:cstheme="minorHAnsi"/>
        </w:rPr>
      </w:pPr>
      <w:r w:rsidRPr="005A6086">
        <w:rPr>
          <w:rFonts w:cstheme="minorHAnsi"/>
        </w:rPr>
        <w:t xml:space="preserve">3. </w:t>
      </w:r>
      <w:r w:rsidR="00AE1D24" w:rsidRPr="005A6086">
        <w:rPr>
          <w:rFonts w:cstheme="minorHAnsi"/>
        </w:rPr>
        <w:t>Official academic transcript.</w:t>
      </w:r>
    </w:p>
    <w:p w:rsidR="00AE1D24" w:rsidRPr="005A6086" w:rsidRDefault="00AE1D24" w:rsidP="00AE1D24">
      <w:pPr>
        <w:jc w:val="both"/>
        <w:rPr>
          <w:rFonts w:cstheme="minorHAnsi"/>
        </w:rPr>
      </w:pPr>
    </w:p>
    <w:p w:rsidR="00AE1D24" w:rsidRPr="005A6086" w:rsidRDefault="005A6086" w:rsidP="00AE1D24">
      <w:pPr>
        <w:jc w:val="both"/>
        <w:rPr>
          <w:rFonts w:cstheme="minorHAnsi"/>
        </w:rPr>
      </w:pPr>
      <w:r w:rsidRPr="005A6086">
        <w:rPr>
          <w:rFonts w:cstheme="minorHAnsi"/>
        </w:rPr>
        <w:t xml:space="preserve">Article </w:t>
      </w:r>
      <w:r w:rsidRPr="005A6086">
        <w:rPr>
          <w:rFonts w:cstheme="minorHAnsi"/>
        </w:rPr>
        <w:t>4</w:t>
      </w:r>
      <w:r w:rsidRPr="005A6086">
        <w:rPr>
          <w:rFonts w:cstheme="minorHAnsi"/>
        </w:rPr>
        <w:tab/>
      </w:r>
      <w:r w:rsidR="00AE1D24" w:rsidRPr="005A6086">
        <w:rPr>
          <w:rFonts w:cstheme="minorHAnsi"/>
        </w:rPr>
        <w:t>Eligibility for Enrollment and Enrollment Cap</w:t>
      </w:r>
    </w:p>
    <w:p w:rsidR="00AE1D24" w:rsidRPr="005A6086" w:rsidRDefault="00AE1D24" w:rsidP="005A6086">
      <w:pPr>
        <w:ind w:leftChars="413" w:left="991"/>
        <w:jc w:val="both"/>
        <w:rPr>
          <w:rFonts w:cstheme="minorHAnsi"/>
        </w:rPr>
      </w:pPr>
      <w:r w:rsidRPr="005A6086">
        <w:rPr>
          <w:rFonts w:cstheme="minorHAnsi"/>
        </w:rPr>
        <w:t>Students may only enroll in the Program upon approval by the Committee.</w:t>
      </w:r>
    </w:p>
    <w:p w:rsidR="00AE1D24" w:rsidRPr="005A6086" w:rsidRDefault="00AE1D24" w:rsidP="005A6086">
      <w:pPr>
        <w:ind w:leftChars="413" w:left="991"/>
        <w:jc w:val="both"/>
        <w:rPr>
          <w:rFonts w:cstheme="minorHAnsi"/>
        </w:rPr>
      </w:pPr>
      <w:r w:rsidRPr="005A6086">
        <w:rPr>
          <w:rFonts w:cstheme="minorHAnsi"/>
        </w:rPr>
        <w:t>Each semester, the number of approved students shall not exceed 3% of the total number of enrolled undergraduate students in the Department.</w:t>
      </w:r>
    </w:p>
    <w:p w:rsidR="00AE1D24" w:rsidRPr="005A6086" w:rsidRDefault="00AE1D24" w:rsidP="00AE1D24">
      <w:pPr>
        <w:jc w:val="both"/>
        <w:rPr>
          <w:rFonts w:cstheme="minorHAnsi"/>
        </w:rPr>
      </w:pPr>
    </w:p>
    <w:p w:rsidR="00AE1D24" w:rsidRPr="005A6086" w:rsidRDefault="005A6086" w:rsidP="00AE1D24">
      <w:pPr>
        <w:jc w:val="both"/>
        <w:rPr>
          <w:rFonts w:cstheme="minorHAnsi"/>
        </w:rPr>
      </w:pPr>
      <w:r w:rsidRPr="005A6086">
        <w:rPr>
          <w:rFonts w:cstheme="minorHAnsi"/>
        </w:rPr>
        <w:t xml:space="preserve">Article </w:t>
      </w:r>
      <w:r w:rsidRPr="005A6086">
        <w:rPr>
          <w:rFonts w:cstheme="minorHAnsi"/>
        </w:rPr>
        <w:t>5</w:t>
      </w:r>
      <w:r w:rsidRPr="005A6086">
        <w:rPr>
          <w:rFonts w:cstheme="minorHAnsi"/>
        </w:rPr>
        <w:tab/>
      </w:r>
      <w:r w:rsidR="00AE1D24" w:rsidRPr="005A6086">
        <w:rPr>
          <w:rFonts w:cstheme="minorHAnsi"/>
        </w:rPr>
        <w:t>Program Curriculum</w:t>
      </w:r>
    </w:p>
    <w:p w:rsidR="00AE1D24" w:rsidRPr="005A6086" w:rsidRDefault="00AE1D24" w:rsidP="005A6086">
      <w:pPr>
        <w:ind w:leftChars="413" w:left="991"/>
        <w:jc w:val="both"/>
        <w:rPr>
          <w:rFonts w:cstheme="minorHAnsi"/>
        </w:rPr>
      </w:pPr>
      <w:r w:rsidRPr="005A6086">
        <w:rPr>
          <w:rFonts w:cstheme="minorHAnsi"/>
        </w:rPr>
        <w:t>Students in the Program must independently select a thesis advisor from the Department’s full-time faculty. The advisor shall guide students in course selection for the Program and supervise their undergraduate thesis.</w:t>
      </w:r>
    </w:p>
    <w:p w:rsidR="00AE1D24" w:rsidRPr="005A6086" w:rsidRDefault="00AE1D24" w:rsidP="005A6086">
      <w:pPr>
        <w:ind w:leftChars="413" w:left="991"/>
        <w:jc w:val="both"/>
        <w:rPr>
          <w:rFonts w:cstheme="minorHAnsi"/>
        </w:rPr>
      </w:pPr>
    </w:p>
    <w:p w:rsidR="00AE1D24" w:rsidRPr="005A6086" w:rsidRDefault="00AE1D24" w:rsidP="005A6086">
      <w:pPr>
        <w:ind w:leftChars="413" w:left="991"/>
        <w:jc w:val="both"/>
        <w:rPr>
          <w:rFonts w:cstheme="minorHAnsi"/>
        </w:rPr>
      </w:pPr>
      <w:r w:rsidRPr="005A6086">
        <w:rPr>
          <w:rFonts w:cstheme="minorHAnsi"/>
        </w:rPr>
        <w:t xml:space="preserve">In addition to completing the required credits for graduation as stipulated by the Department, Program students must also complete the following Department-offered courses: Undergraduate Thesis I, Undergraduate Thesis II, </w:t>
      </w:r>
      <w:r w:rsidR="00406E73" w:rsidRPr="005A6086">
        <w:rPr>
          <w:rFonts w:cstheme="minorHAnsi"/>
        </w:rPr>
        <w:t>Direct Research</w:t>
      </w:r>
      <w:r w:rsidRPr="005A6086">
        <w:rPr>
          <w:rFonts w:cstheme="minorHAnsi"/>
        </w:rPr>
        <w:t xml:space="preserve">, Integrative Biology, </w:t>
      </w:r>
      <w:r w:rsidR="00406E73" w:rsidRPr="005A6086">
        <w:rPr>
          <w:rFonts w:cstheme="minorHAnsi"/>
        </w:rPr>
        <w:t>Insect Taxonomy</w:t>
      </w:r>
      <w:r w:rsidRPr="005A6086">
        <w:rPr>
          <w:rFonts w:cstheme="minorHAnsi"/>
        </w:rPr>
        <w:t xml:space="preserve"> I, Insect Physiology, and Ecology, totaling 12 credits.</w:t>
      </w:r>
    </w:p>
    <w:p w:rsidR="00AE1D24" w:rsidRPr="005A6086" w:rsidRDefault="00AE1D24" w:rsidP="00AE1D24">
      <w:pPr>
        <w:jc w:val="both"/>
        <w:rPr>
          <w:rFonts w:cstheme="minorHAnsi"/>
        </w:rPr>
      </w:pPr>
    </w:p>
    <w:p w:rsidR="00AE1D24" w:rsidRPr="005A6086" w:rsidRDefault="005A6086" w:rsidP="00AE1D24">
      <w:pPr>
        <w:jc w:val="both"/>
        <w:rPr>
          <w:rFonts w:cstheme="minorHAnsi"/>
        </w:rPr>
      </w:pPr>
      <w:r w:rsidRPr="005A6086">
        <w:rPr>
          <w:rFonts w:cstheme="minorHAnsi"/>
        </w:rPr>
        <w:t xml:space="preserve">Article </w:t>
      </w:r>
      <w:r w:rsidRPr="005A6086">
        <w:rPr>
          <w:rFonts w:cstheme="minorHAnsi"/>
        </w:rPr>
        <w:t>6</w:t>
      </w:r>
      <w:r w:rsidRPr="005A6086">
        <w:rPr>
          <w:rFonts w:cstheme="minorHAnsi"/>
        </w:rPr>
        <w:tab/>
      </w:r>
      <w:r w:rsidR="00AE1D24" w:rsidRPr="005A6086">
        <w:rPr>
          <w:rFonts w:cstheme="minorHAnsi"/>
        </w:rPr>
        <w:t>Completion Requirements and Review Procedures</w:t>
      </w:r>
    </w:p>
    <w:p w:rsidR="00AE1D24" w:rsidRPr="005A6086" w:rsidRDefault="00AE1D24" w:rsidP="005A6086">
      <w:pPr>
        <w:ind w:leftChars="413" w:left="991"/>
        <w:jc w:val="both"/>
        <w:rPr>
          <w:rFonts w:cstheme="minorHAnsi"/>
        </w:rPr>
      </w:pPr>
      <w:r w:rsidRPr="005A6086">
        <w:rPr>
          <w:rFonts w:cstheme="minorHAnsi"/>
        </w:rPr>
        <w:t>Students who complete all required Program courses as outlined above, maintain a GPA of 3.7 or higher, and pass the undergraduate thesis oral defense may submit their academic transcript and thesis to the Committee for Program completion review.</w:t>
      </w:r>
    </w:p>
    <w:p w:rsidR="00AE1D24" w:rsidRPr="005A6086" w:rsidRDefault="00AE1D24" w:rsidP="000C0988">
      <w:pPr>
        <w:ind w:leftChars="118" w:left="283"/>
        <w:jc w:val="both"/>
        <w:rPr>
          <w:rFonts w:cstheme="minorHAnsi"/>
        </w:rPr>
      </w:pPr>
    </w:p>
    <w:p w:rsidR="00AE1D24" w:rsidRPr="005A6086" w:rsidRDefault="00AE1D24" w:rsidP="005A6086">
      <w:pPr>
        <w:ind w:leftChars="413" w:left="991"/>
        <w:jc w:val="both"/>
        <w:rPr>
          <w:rFonts w:cstheme="minorHAnsi"/>
        </w:rPr>
      </w:pPr>
      <w:r w:rsidRPr="005A6086">
        <w:rPr>
          <w:rFonts w:cstheme="minorHAnsi"/>
        </w:rPr>
        <w:lastRenderedPageBreak/>
        <w:t>Applications must be submitted by October 31 for the first semester and by March 31 for the second semester.</w:t>
      </w:r>
    </w:p>
    <w:p w:rsidR="00AE1D24" w:rsidRPr="005A6086" w:rsidRDefault="00AE1D24" w:rsidP="005A6086">
      <w:pPr>
        <w:ind w:leftChars="413" w:left="991"/>
        <w:jc w:val="both"/>
        <w:rPr>
          <w:rFonts w:cstheme="minorHAnsi"/>
        </w:rPr>
      </w:pPr>
    </w:p>
    <w:p w:rsidR="00AE1D24" w:rsidRPr="005A6086" w:rsidRDefault="00AE1D24" w:rsidP="005A6086">
      <w:pPr>
        <w:ind w:leftChars="413" w:left="991"/>
        <w:jc w:val="both"/>
        <w:rPr>
          <w:rFonts w:cstheme="minorHAnsi"/>
        </w:rPr>
      </w:pPr>
      <w:r w:rsidRPr="005A6086">
        <w:rPr>
          <w:rFonts w:cstheme="minorHAnsi"/>
        </w:rPr>
        <w:t>Upon approval by both the Committee and the Office of Academic Affairs, the designation “Undergraduate Honors Program in the Department of Entomology” shall be indicated on the student’s diploma, transcript, and relevant documents in accordance with University</w:t>
      </w:r>
      <w:r w:rsidR="000C0988" w:rsidRPr="005A6086">
        <w:rPr>
          <w:rFonts w:cstheme="minorHAnsi"/>
        </w:rPr>
        <w:t>’s</w:t>
      </w:r>
      <w:r w:rsidRPr="005A6086">
        <w:rPr>
          <w:rFonts w:cstheme="minorHAnsi"/>
        </w:rPr>
        <w:t xml:space="preserve"> regulations.</w:t>
      </w:r>
    </w:p>
    <w:p w:rsidR="00AE1D24" w:rsidRPr="005A6086" w:rsidRDefault="00AE1D24" w:rsidP="00AE1D24">
      <w:pPr>
        <w:jc w:val="both"/>
        <w:rPr>
          <w:rFonts w:cstheme="minorHAnsi"/>
        </w:rPr>
      </w:pPr>
    </w:p>
    <w:p w:rsidR="00AE1D24" w:rsidRPr="005A6086" w:rsidRDefault="005A6086" w:rsidP="005A6086">
      <w:pPr>
        <w:ind w:left="991" w:hangingChars="413" w:hanging="991"/>
        <w:jc w:val="both"/>
        <w:rPr>
          <w:rFonts w:cstheme="minorHAnsi"/>
        </w:rPr>
      </w:pPr>
      <w:r w:rsidRPr="005A6086">
        <w:rPr>
          <w:rFonts w:cstheme="minorHAnsi"/>
        </w:rPr>
        <w:t xml:space="preserve">Article </w:t>
      </w:r>
      <w:r w:rsidRPr="005A6086">
        <w:rPr>
          <w:rFonts w:cstheme="minorHAnsi"/>
        </w:rPr>
        <w:t>7</w:t>
      </w:r>
      <w:r w:rsidRPr="005A6086">
        <w:rPr>
          <w:rFonts w:cstheme="minorHAnsi"/>
        </w:rPr>
        <w:tab/>
      </w:r>
      <w:r w:rsidR="00AE1D24" w:rsidRPr="005A6086">
        <w:rPr>
          <w:rFonts w:cstheme="minorHAnsi"/>
        </w:rPr>
        <w:t>Matters not addressed in these Guidelines shall be handled in accordance with the NTU Academic Regulations, the "</w:t>
      </w:r>
      <w:r w:rsidRPr="005A6086">
        <w:rPr>
          <w:rFonts w:cstheme="minorHAnsi"/>
        </w:rPr>
        <w:t>National Taiwan University Guidelines for the Establishment of Undergraduate Honors Programs</w:t>
      </w:r>
      <w:r w:rsidR="00AE1D24" w:rsidRPr="005A6086">
        <w:rPr>
          <w:rFonts w:cstheme="minorHAnsi"/>
        </w:rPr>
        <w:t xml:space="preserve">" and relevant </w:t>
      </w:r>
      <w:r w:rsidR="002E5C9C" w:rsidRPr="005A6086">
        <w:rPr>
          <w:rFonts w:cstheme="minorHAnsi"/>
        </w:rPr>
        <w:t xml:space="preserve">regulations of the </w:t>
      </w:r>
      <w:r w:rsidR="00AE1D24" w:rsidRPr="005A6086">
        <w:rPr>
          <w:rFonts w:cstheme="minorHAnsi"/>
        </w:rPr>
        <w:t>University.</w:t>
      </w:r>
    </w:p>
    <w:p w:rsidR="00AE1D24" w:rsidRPr="005A6086" w:rsidRDefault="00AE1D24" w:rsidP="005A6086">
      <w:pPr>
        <w:ind w:left="991" w:hangingChars="413" w:hanging="991"/>
        <w:jc w:val="both"/>
        <w:rPr>
          <w:rFonts w:cstheme="minorHAnsi"/>
        </w:rPr>
      </w:pPr>
    </w:p>
    <w:p w:rsidR="00C05D86" w:rsidRPr="005A6086" w:rsidRDefault="005A6086" w:rsidP="005A6086">
      <w:pPr>
        <w:ind w:left="991" w:hangingChars="413" w:hanging="991"/>
        <w:jc w:val="both"/>
        <w:rPr>
          <w:rFonts w:cstheme="minorHAnsi"/>
          <w:sz w:val="13"/>
          <w:szCs w:val="13"/>
        </w:rPr>
      </w:pPr>
      <w:r w:rsidRPr="005A6086">
        <w:rPr>
          <w:rFonts w:cstheme="minorHAnsi"/>
        </w:rPr>
        <w:t xml:space="preserve">Article </w:t>
      </w:r>
      <w:r w:rsidRPr="005A6086">
        <w:rPr>
          <w:rFonts w:cstheme="minorHAnsi"/>
        </w:rPr>
        <w:t>8</w:t>
      </w:r>
      <w:r w:rsidRPr="005A6086">
        <w:rPr>
          <w:rFonts w:cstheme="minorHAnsi"/>
        </w:rPr>
        <w:tab/>
      </w:r>
      <w:r w:rsidR="00AE1D24" w:rsidRPr="005A6086">
        <w:rPr>
          <w:rFonts w:cstheme="minorHAnsi"/>
        </w:rPr>
        <w:t>These Guidelines shall be implemented upon approval by the Department</w:t>
      </w:r>
      <w:r w:rsidR="007407EF" w:rsidRPr="005A6086">
        <w:rPr>
          <w:rFonts w:cstheme="minorHAnsi"/>
        </w:rPr>
        <w:t>’s</w:t>
      </w:r>
      <w:r w:rsidR="00AE1D24" w:rsidRPr="005A6086">
        <w:rPr>
          <w:rFonts w:cstheme="minorHAnsi"/>
        </w:rPr>
        <w:t xml:space="preserve"> Curriculum Committee, </w:t>
      </w:r>
      <w:r w:rsidR="007407EF" w:rsidRPr="005A6086">
        <w:rPr>
          <w:rFonts w:cstheme="minorHAnsi"/>
        </w:rPr>
        <w:t>Departmental Affairs Meeting</w:t>
      </w:r>
      <w:r w:rsidR="00AE1D24" w:rsidRPr="005A6086">
        <w:rPr>
          <w:rFonts w:cstheme="minorHAnsi"/>
        </w:rPr>
        <w:t>, College Affairs Meeting, and the University Academic Affairs Meeting, and shall take effect from the date of promulgation.</w:t>
      </w:r>
    </w:p>
    <w:sectPr w:rsidR="00C05D86" w:rsidRPr="005A6086" w:rsidSect="00024F0A">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4CE"/>
    <w:multiLevelType w:val="hybridMultilevel"/>
    <w:tmpl w:val="D5468164"/>
    <w:lvl w:ilvl="0" w:tplc="E8DE4830">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1A9E4939"/>
    <w:multiLevelType w:val="hybridMultilevel"/>
    <w:tmpl w:val="6BA2B86A"/>
    <w:lvl w:ilvl="0" w:tplc="1E02A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313556"/>
    <w:multiLevelType w:val="hybridMultilevel"/>
    <w:tmpl w:val="C602D51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E63B8D"/>
    <w:multiLevelType w:val="multilevel"/>
    <w:tmpl w:val="9B64C830"/>
    <w:lvl w:ilvl="0">
      <w:start w:val="113"/>
      <w:numFmt w:val="decimal"/>
      <w:lvlText w:val="%1"/>
      <w:lvlJc w:val="left"/>
      <w:pPr>
        <w:ind w:left="520" w:hanging="520"/>
      </w:pPr>
      <w:rPr>
        <w:rFonts w:hint="default"/>
      </w:rPr>
    </w:lvl>
    <w:lvl w:ilvl="1">
      <w:start w:val="10"/>
      <w:numFmt w:val="decimal"/>
      <w:lvlText w:val="%1.%2"/>
      <w:lvlJc w:val="left"/>
      <w:pPr>
        <w:ind w:left="520" w:hanging="5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5F2E1F"/>
    <w:multiLevelType w:val="hybridMultilevel"/>
    <w:tmpl w:val="57500D6E"/>
    <w:lvl w:ilvl="0" w:tplc="1D9423E2">
      <w:start w:val="1"/>
      <w:numFmt w:val="decimal"/>
      <w:lvlText w:val="(%1)"/>
      <w:lvlJc w:val="left"/>
      <w:pPr>
        <w:ind w:left="643" w:hanging="360"/>
      </w:pPr>
      <w:rPr>
        <w:rFonts w:hint="default"/>
        <w:color w:val="000000" w:themeColor="text1"/>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3C525FB3"/>
    <w:multiLevelType w:val="hybridMultilevel"/>
    <w:tmpl w:val="962C8582"/>
    <w:lvl w:ilvl="0" w:tplc="6548EB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4D30BE"/>
    <w:multiLevelType w:val="hybridMultilevel"/>
    <w:tmpl w:val="C602D518"/>
    <w:lvl w:ilvl="0" w:tplc="FFFFFFFF">
      <w:start w:val="1"/>
      <w:numFmt w:val="upperLetter"/>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242057064">
    <w:abstractNumId w:val="4"/>
  </w:num>
  <w:num w:numId="2" w16cid:durableId="372846962">
    <w:abstractNumId w:val="2"/>
  </w:num>
  <w:num w:numId="3" w16cid:durableId="524100928">
    <w:abstractNumId w:val="6"/>
  </w:num>
  <w:num w:numId="4" w16cid:durableId="2049648151">
    <w:abstractNumId w:val="0"/>
  </w:num>
  <w:num w:numId="5" w16cid:durableId="986130374">
    <w:abstractNumId w:val="1"/>
  </w:num>
  <w:num w:numId="6" w16cid:durableId="149714579">
    <w:abstractNumId w:val="5"/>
  </w:num>
  <w:num w:numId="7" w16cid:durableId="1208487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75"/>
    <w:rsid w:val="00024F0A"/>
    <w:rsid w:val="000C0988"/>
    <w:rsid w:val="000E2A68"/>
    <w:rsid w:val="001222AA"/>
    <w:rsid w:val="00123F73"/>
    <w:rsid w:val="001B7DE7"/>
    <w:rsid w:val="001E6185"/>
    <w:rsid w:val="00255711"/>
    <w:rsid w:val="00282D38"/>
    <w:rsid w:val="002A4997"/>
    <w:rsid w:val="002E5C9C"/>
    <w:rsid w:val="00363386"/>
    <w:rsid w:val="00366B2B"/>
    <w:rsid w:val="00401C7E"/>
    <w:rsid w:val="00406E73"/>
    <w:rsid w:val="0041777B"/>
    <w:rsid w:val="004646ED"/>
    <w:rsid w:val="00475F2C"/>
    <w:rsid w:val="005724A0"/>
    <w:rsid w:val="005875D6"/>
    <w:rsid w:val="005A6086"/>
    <w:rsid w:val="0062501F"/>
    <w:rsid w:val="00630103"/>
    <w:rsid w:val="00635B7F"/>
    <w:rsid w:val="0065080E"/>
    <w:rsid w:val="00675FEC"/>
    <w:rsid w:val="006A6DFA"/>
    <w:rsid w:val="006C5CD1"/>
    <w:rsid w:val="006D2031"/>
    <w:rsid w:val="007407EF"/>
    <w:rsid w:val="00753E5E"/>
    <w:rsid w:val="00797549"/>
    <w:rsid w:val="007A6B56"/>
    <w:rsid w:val="008663D0"/>
    <w:rsid w:val="00885DF4"/>
    <w:rsid w:val="00A13796"/>
    <w:rsid w:val="00A1582F"/>
    <w:rsid w:val="00A26755"/>
    <w:rsid w:val="00A3734D"/>
    <w:rsid w:val="00A43B7C"/>
    <w:rsid w:val="00AE185F"/>
    <w:rsid w:val="00AE1D24"/>
    <w:rsid w:val="00B81060"/>
    <w:rsid w:val="00B82D75"/>
    <w:rsid w:val="00B91FE6"/>
    <w:rsid w:val="00C05D86"/>
    <w:rsid w:val="00D441A6"/>
    <w:rsid w:val="00DA4487"/>
    <w:rsid w:val="00E813BF"/>
    <w:rsid w:val="00EC6579"/>
    <w:rsid w:val="00EF1FF7"/>
    <w:rsid w:val="00F01410"/>
    <w:rsid w:val="00F045A9"/>
    <w:rsid w:val="00F91B85"/>
    <w:rsid w:val="00F95112"/>
    <w:rsid w:val="00F96B48"/>
    <w:rsid w:val="00FF5E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BA88C94"/>
  <w15:chartTrackingRefBased/>
  <w15:docId w15:val="{3049F6E8-A5A7-6B43-8A39-AC8FB67C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77B"/>
    <w:pPr>
      <w:ind w:leftChars="200" w:left="480"/>
    </w:pPr>
  </w:style>
  <w:style w:type="paragraph" w:styleId="Web">
    <w:name w:val="Normal (Web)"/>
    <w:basedOn w:val="a"/>
    <w:uiPriority w:val="99"/>
    <w:semiHidden/>
    <w:unhideWhenUsed/>
    <w:rsid w:val="007A6B56"/>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05694">
      <w:bodyDiv w:val="1"/>
      <w:marLeft w:val="0"/>
      <w:marRight w:val="0"/>
      <w:marTop w:val="0"/>
      <w:marBottom w:val="0"/>
      <w:divBdr>
        <w:top w:val="none" w:sz="0" w:space="0" w:color="auto"/>
        <w:left w:val="none" w:sz="0" w:space="0" w:color="auto"/>
        <w:bottom w:val="none" w:sz="0" w:space="0" w:color="auto"/>
        <w:right w:val="none" w:sz="0" w:space="0" w:color="auto"/>
      </w:divBdr>
      <w:divsChild>
        <w:div w:id="222757158">
          <w:marLeft w:val="0"/>
          <w:marRight w:val="0"/>
          <w:marTop w:val="0"/>
          <w:marBottom w:val="0"/>
          <w:divBdr>
            <w:top w:val="none" w:sz="0" w:space="0" w:color="auto"/>
            <w:left w:val="none" w:sz="0" w:space="0" w:color="auto"/>
            <w:bottom w:val="none" w:sz="0" w:space="0" w:color="auto"/>
            <w:right w:val="none" w:sz="0" w:space="0" w:color="auto"/>
          </w:divBdr>
          <w:divsChild>
            <w:div w:id="1946813360">
              <w:marLeft w:val="0"/>
              <w:marRight w:val="0"/>
              <w:marTop w:val="0"/>
              <w:marBottom w:val="0"/>
              <w:divBdr>
                <w:top w:val="none" w:sz="0" w:space="0" w:color="auto"/>
                <w:left w:val="none" w:sz="0" w:space="0" w:color="auto"/>
                <w:bottom w:val="none" w:sz="0" w:space="0" w:color="auto"/>
                <w:right w:val="none" w:sz="0" w:space="0" w:color="auto"/>
              </w:divBdr>
              <w:divsChild>
                <w:div w:id="6870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5498">
      <w:bodyDiv w:val="1"/>
      <w:marLeft w:val="0"/>
      <w:marRight w:val="0"/>
      <w:marTop w:val="0"/>
      <w:marBottom w:val="0"/>
      <w:divBdr>
        <w:top w:val="none" w:sz="0" w:space="0" w:color="auto"/>
        <w:left w:val="none" w:sz="0" w:space="0" w:color="auto"/>
        <w:bottom w:val="none" w:sz="0" w:space="0" w:color="auto"/>
        <w:right w:val="none" w:sz="0" w:space="0" w:color="auto"/>
      </w:divBdr>
      <w:divsChild>
        <w:div w:id="1213032847">
          <w:marLeft w:val="0"/>
          <w:marRight w:val="0"/>
          <w:marTop w:val="0"/>
          <w:marBottom w:val="0"/>
          <w:divBdr>
            <w:top w:val="none" w:sz="0" w:space="0" w:color="auto"/>
            <w:left w:val="none" w:sz="0" w:space="0" w:color="auto"/>
            <w:bottom w:val="none" w:sz="0" w:space="0" w:color="auto"/>
            <w:right w:val="none" w:sz="0" w:space="0" w:color="auto"/>
          </w:divBdr>
          <w:divsChild>
            <w:div w:id="2008509720">
              <w:marLeft w:val="0"/>
              <w:marRight w:val="0"/>
              <w:marTop w:val="0"/>
              <w:marBottom w:val="0"/>
              <w:divBdr>
                <w:top w:val="none" w:sz="0" w:space="0" w:color="auto"/>
                <w:left w:val="none" w:sz="0" w:space="0" w:color="auto"/>
                <w:bottom w:val="none" w:sz="0" w:space="0" w:color="auto"/>
                <w:right w:val="none" w:sz="0" w:space="0" w:color="auto"/>
              </w:divBdr>
              <w:divsChild>
                <w:div w:id="699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3298">
      <w:bodyDiv w:val="1"/>
      <w:marLeft w:val="0"/>
      <w:marRight w:val="0"/>
      <w:marTop w:val="0"/>
      <w:marBottom w:val="0"/>
      <w:divBdr>
        <w:top w:val="none" w:sz="0" w:space="0" w:color="auto"/>
        <w:left w:val="none" w:sz="0" w:space="0" w:color="auto"/>
        <w:bottom w:val="none" w:sz="0" w:space="0" w:color="auto"/>
        <w:right w:val="none" w:sz="0" w:space="0" w:color="auto"/>
      </w:divBdr>
      <w:divsChild>
        <w:div w:id="474295014">
          <w:marLeft w:val="0"/>
          <w:marRight w:val="0"/>
          <w:marTop w:val="0"/>
          <w:marBottom w:val="0"/>
          <w:divBdr>
            <w:top w:val="none" w:sz="0" w:space="0" w:color="auto"/>
            <w:left w:val="none" w:sz="0" w:space="0" w:color="auto"/>
            <w:bottom w:val="none" w:sz="0" w:space="0" w:color="auto"/>
            <w:right w:val="none" w:sz="0" w:space="0" w:color="auto"/>
          </w:divBdr>
          <w:divsChild>
            <w:div w:id="1212498779">
              <w:marLeft w:val="0"/>
              <w:marRight w:val="0"/>
              <w:marTop w:val="0"/>
              <w:marBottom w:val="0"/>
              <w:divBdr>
                <w:top w:val="none" w:sz="0" w:space="0" w:color="auto"/>
                <w:left w:val="none" w:sz="0" w:space="0" w:color="auto"/>
                <w:bottom w:val="none" w:sz="0" w:space="0" w:color="auto"/>
                <w:right w:val="none" w:sz="0" w:space="0" w:color="auto"/>
              </w:divBdr>
              <w:divsChild>
                <w:div w:id="18115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16117">
      <w:bodyDiv w:val="1"/>
      <w:marLeft w:val="0"/>
      <w:marRight w:val="0"/>
      <w:marTop w:val="0"/>
      <w:marBottom w:val="0"/>
      <w:divBdr>
        <w:top w:val="none" w:sz="0" w:space="0" w:color="auto"/>
        <w:left w:val="none" w:sz="0" w:space="0" w:color="auto"/>
        <w:bottom w:val="none" w:sz="0" w:space="0" w:color="auto"/>
        <w:right w:val="none" w:sz="0" w:space="0" w:color="auto"/>
      </w:divBdr>
      <w:divsChild>
        <w:div w:id="2093382533">
          <w:marLeft w:val="0"/>
          <w:marRight w:val="0"/>
          <w:marTop w:val="0"/>
          <w:marBottom w:val="0"/>
          <w:divBdr>
            <w:top w:val="none" w:sz="0" w:space="0" w:color="auto"/>
            <w:left w:val="none" w:sz="0" w:space="0" w:color="auto"/>
            <w:bottom w:val="none" w:sz="0" w:space="0" w:color="auto"/>
            <w:right w:val="none" w:sz="0" w:space="0" w:color="auto"/>
          </w:divBdr>
          <w:divsChild>
            <w:div w:id="1110658617">
              <w:marLeft w:val="0"/>
              <w:marRight w:val="0"/>
              <w:marTop w:val="0"/>
              <w:marBottom w:val="0"/>
              <w:divBdr>
                <w:top w:val="none" w:sz="0" w:space="0" w:color="auto"/>
                <w:left w:val="none" w:sz="0" w:space="0" w:color="auto"/>
                <w:bottom w:val="none" w:sz="0" w:space="0" w:color="auto"/>
                <w:right w:val="none" w:sz="0" w:space="0" w:color="auto"/>
              </w:divBdr>
              <w:divsChild>
                <w:div w:id="20769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85437">
      <w:bodyDiv w:val="1"/>
      <w:marLeft w:val="0"/>
      <w:marRight w:val="0"/>
      <w:marTop w:val="0"/>
      <w:marBottom w:val="0"/>
      <w:divBdr>
        <w:top w:val="none" w:sz="0" w:space="0" w:color="auto"/>
        <w:left w:val="none" w:sz="0" w:space="0" w:color="auto"/>
        <w:bottom w:val="none" w:sz="0" w:space="0" w:color="auto"/>
        <w:right w:val="none" w:sz="0" w:space="0" w:color="auto"/>
      </w:divBdr>
      <w:divsChild>
        <w:div w:id="1059668736">
          <w:marLeft w:val="0"/>
          <w:marRight w:val="0"/>
          <w:marTop w:val="0"/>
          <w:marBottom w:val="0"/>
          <w:divBdr>
            <w:top w:val="none" w:sz="0" w:space="0" w:color="auto"/>
            <w:left w:val="none" w:sz="0" w:space="0" w:color="auto"/>
            <w:bottom w:val="none" w:sz="0" w:space="0" w:color="auto"/>
            <w:right w:val="none" w:sz="0" w:space="0" w:color="auto"/>
          </w:divBdr>
          <w:divsChild>
            <w:div w:id="1308511082">
              <w:marLeft w:val="0"/>
              <w:marRight w:val="0"/>
              <w:marTop w:val="0"/>
              <w:marBottom w:val="0"/>
              <w:divBdr>
                <w:top w:val="none" w:sz="0" w:space="0" w:color="auto"/>
                <w:left w:val="none" w:sz="0" w:space="0" w:color="auto"/>
                <w:bottom w:val="none" w:sz="0" w:space="0" w:color="auto"/>
                <w:right w:val="none" w:sz="0" w:space="0" w:color="auto"/>
              </w:divBdr>
              <w:divsChild>
                <w:div w:id="8510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8301">
      <w:bodyDiv w:val="1"/>
      <w:marLeft w:val="0"/>
      <w:marRight w:val="0"/>
      <w:marTop w:val="0"/>
      <w:marBottom w:val="0"/>
      <w:divBdr>
        <w:top w:val="none" w:sz="0" w:space="0" w:color="auto"/>
        <w:left w:val="none" w:sz="0" w:space="0" w:color="auto"/>
        <w:bottom w:val="none" w:sz="0" w:space="0" w:color="auto"/>
        <w:right w:val="none" w:sz="0" w:space="0" w:color="auto"/>
      </w:divBdr>
      <w:divsChild>
        <w:div w:id="178929114">
          <w:marLeft w:val="0"/>
          <w:marRight w:val="0"/>
          <w:marTop w:val="0"/>
          <w:marBottom w:val="0"/>
          <w:divBdr>
            <w:top w:val="none" w:sz="0" w:space="0" w:color="auto"/>
            <w:left w:val="none" w:sz="0" w:space="0" w:color="auto"/>
            <w:bottom w:val="none" w:sz="0" w:space="0" w:color="auto"/>
            <w:right w:val="none" w:sz="0" w:space="0" w:color="auto"/>
          </w:divBdr>
          <w:divsChild>
            <w:div w:id="1382245110">
              <w:marLeft w:val="0"/>
              <w:marRight w:val="0"/>
              <w:marTop w:val="0"/>
              <w:marBottom w:val="0"/>
              <w:divBdr>
                <w:top w:val="none" w:sz="0" w:space="0" w:color="auto"/>
                <w:left w:val="none" w:sz="0" w:space="0" w:color="auto"/>
                <w:bottom w:val="none" w:sz="0" w:space="0" w:color="auto"/>
                <w:right w:val="none" w:sz="0" w:space="0" w:color="auto"/>
              </w:divBdr>
              <w:divsChild>
                <w:div w:id="194552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dc:creator>
  <cp:keywords/>
  <dc:description/>
  <cp:lastModifiedBy>Tsai</cp:lastModifiedBy>
  <cp:revision>14</cp:revision>
  <dcterms:created xsi:type="dcterms:W3CDTF">2025-04-14T15:31:00Z</dcterms:created>
  <dcterms:modified xsi:type="dcterms:W3CDTF">2025-04-23T07:37:00Z</dcterms:modified>
</cp:coreProperties>
</file>